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2P.182/2002 vom 17. März 2003</w:t>
      </w:r>
    </w:p>
    <w:p>
      <w:r>
        <w:t>Bundesgericht, 2003-03-17, DE</w:t>
      </w:r>
    </w:p>
    <w:p>
      <w:r>
        <w:rPr>
          <w:b/>
        </w:rPr>
        <w:t xml:space="preserve">Quelle: </w:t>
      </w:r>
      <w:r>
        <w:t>https://mcp.opencaselaw.ch/entscheid/bger_2P.182_2002</w:t>
      </w:r>
    </w:p>
    <w:p>
      <w:r>
        <w:t>FR: TF 2P.182/2002 du 17 mars 2003</w:t>
      </w:r>
    </w:p>
    <w:p>
      <w:r>
        <w:t>IT: TF 2P.182/2002 del 17 marzo 2003</w:t>
      </w:r>
    </w:p>
    <w:p>
      <w:pPr>
        <w:pStyle w:val="Heading2"/>
      </w:pPr>
      <w:r>
        <w:t>Regeste</w:t>
      </w:r>
    </w:p>
    <w:p>
      <w:r>
        <w:t>Öffentliche Finanzen &amp; Abgaberecht</w:t>
      </w:r>
    </w:p>
    <w:p>
      <w:pPr>
        <w:pStyle w:val="Heading2"/>
      </w:pPr>
      <w:r>
        <w:t>Erwägungen</w:t>
      </w:r>
    </w:p>
    <w:p>
      <w:r>
        <w:rPr>
          <w:b/>
        </w:rPr>
        <w:t>E. 1.1</w:t>
      </w:r>
    </w:p>
    <w:p>
      <w:r>
        <w:t>Eine staatsrechtliche Beschwerde wegen Verletzung des Doppelbesteuerungsverbots ( Art. 127 Abs. 3 BV bzw. Art. 46 Abs. 2 aBV ) ist spätestens dann zu erheben, wenn der zweite der einander ausschliessenden Steueransprüche geltend gemacht wird. Dabei braucht der kantonale Instanzenzug nicht ausgeschöpft zu werden ( Art. 86 Abs. 2 OG ), aber gegenüber dem angefochtenen Entscheid ist die dreissigtägige Beschwerdefrist einzuhalten (vgl. Art. 89 Abs. 1 OG ). Führt der Steuerpflichtige gegen den zweitverfügenden Kanton Beschwerde, so kann er die bereits rechtskräftige Steuerveranlagung des erstverfügenden Kantons mitanfechten ( Art. 89 Abs. 3 OG ; vgl. BGE 123 I 289 E. 1a S. 291 f.).</w:t>
      </w:r>
    </w:p>
    <w:p>
      <w:r>
        <w:rPr>
          <w:b/>
        </w:rPr>
        <w:t>E. 1.2</w:t>
      </w:r>
    </w:p>
    <w:p>
      <w:r>
        <w:t>Die staatsrechtliche Beschwerde ist grundsätzlich kassatorischer Natur ( BGE 127 II 1 E. 2c S. 5; 126 II 377 E. 8b S. 395; 125 II 86 E. 5a E. 96 ; 125 I 104 E. 1b S. 107, je mit weiteren Hinweisen). Eine Ausnahme besteht bei staatsrechtlichen Beschwerden wegen Verletzung des Doppelbesteuerungsverbots; das Bundesgericht kann zusammen mit der Aufhebung des kantonalen Hoheitsaktes Feststellungen treffen und den beteiligten Kantonen Weisungen hinsichtlich der verfassungskonformen Steuerausscheidung erteilen, namentlich die Rückerstattung ungerechtfertigt erhobener Steuern anordnen (vgl. BGE 111 Ia 120 E. 1b S. 123; StE 2002 A 24.22 4 E. 1b ; 1999 A 24.22</w:t>
      </w:r>
    </w:p>
    <w:p>
      <w:r>
        <w:rPr>
          <w:b/>
        </w:rPr>
        <w:t>E. 3</w:t>
      </w:r>
    </w:p>
    <w:p>
      <w:r>
        <w:t>Vorliegend ist zu prüfen, ob der Kanton Zürich für 1999 zu Recht die ausschliessliche Steuerhoheit beansprucht hat.</w:t>
      </w:r>
    </w:p>
    <w:p>
      <w:r>
        <w:rPr>
          <w:b/>
        </w:rPr>
        <w:t>E. 3.1</w:t>
      </w:r>
    </w:p>
    <w:p>
      <w:r>
        <w:t>In ihrer Steuererklärung für 1999 haben die Beschwerdeführer die Geburt ihres Kindes und den Erwerb durch Erbschaft des zuvor nur gemieteten Hauses in Winterthur angegeben. Diese beiden Umstände haben die Zürcher Steuerbehörden veranlasst, die in den vorangehenden Jahren angenommene Trennung der Hauptsteuerdomizile zu überprüfen und die tatsächlichen Lebensverhältnisse der Familie näher zu untersuchen. Nach den vorgenommenen Abklärungen kann als erstellt gelten, dass der Ehemann in Wirklichkeit während des ganzen Jahres 1999 mit seiner Familie das Haus seiner Gattin in Winterthur bewohnte. Von dort fuhr er als sog. Pendler (praktisch) jeden Tag an seinen - nur 16 km entfernten - Arbeitsort Frauenfeld. Seine dortige Wohnung behielt er lediglich deshalb bei, weil er im Kanton Thurgau wohnsitzpflichtig war. Dies ist dem zuständigen Zürcher Steuerkommissär vom damaligen Rechtsvertreter der Beschwerdeführer mitgeteilt, von ihrem jetzigen Anwalt vollumfänglich bestätigt und selbst vom Kanton Thurgau nicht in Zweifel gezogen worden. Die tatsächlichen Wohnverhältnisse rechtfertigen somit den uneingeschränkten Besteuerungsanspruch des Kantons Zürich. Befindet sich aber das Hauptsteuerdomizil des Pflichtigen an seinem Familienwohnort, so vermag seine - hier sowieso nur formell eingehaltene - Residenzpflicht im Arbeitskanton daran nichts zu ändern.</w:t>
      </w:r>
    </w:p>
    <w:p>
      <w:r>
        <w:rPr>
          <w:b/>
        </w:rPr>
        <w:t>E. 3.2</w:t>
      </w:r>
    </w:p>
    <w:p>
      <w:r>
        <w:t>Der Kanton Thurgau bringt verschiedene Einwendungen vor, welche sich ausschliesslich auf die Vorgehensweise der Zürcher Steuerbehörden beziehen und allesamt nicht zu überzeugen vermögen. Ein widersprüchliches Verhalten kann dem Kanton Zürich nicht schon deshalb vorgeworfen werden, weil er auf die neue Steuerperiode hin die für die vorangehenden Jahre jeweils vereinbarte Aufteilung der Steuerhoheit überprüft hat. Dafür hat er - im Gegensatz zu dem in ZStP 2001 183 ff. publizierten Urteil - nicht Umstände geltend gemacht, die er schon früher hätte kennen müssen, sondern solche, die sich erst in der streitigen Periode ereignet haben. Diese bilden, selbst wenn sie für sich allein nicht als entscheidend bezeichnet werden können, nicht bloss Vorwände, um nach einem personellen Wechsel innerhalb der zuständigen Veranlagungsbehörde eine andere Praxis durchzusetzen. Genauso wenig muss der Veranlagungsverfügung in einer Situation wie der vorliegenden jedesmal unbedingt ein Steuerdomizilentscheid vorausgehen. Eine Verwirkung des Zürcher Besteuerungsanspruches im Sinne der Rechtsprechung (vgl. BGE 123 I 264 E. 2c S. 266 ; 94 I 318 E. 4a S. 321 ; 91 I 467 E. 4 S. 475; ASA 64 167, 56 85; StE 2000 A 24.5 4 E. 4, je mit Hinweisen) kann hier ebenfalls nicht angenommen werden. Die Beschwerdeführer haben dem Kantonalen Steueramt Zürich ihre Steuererklärung 1999B nach Fristverlängerung erst am 31. August 2000 eingereicht. Ein knappes Jahr später, Mitte Juli 2001, leitete der Steuerkommissär Abklärungen über die Wohnsitzpflicht des Beschwerdeführers und dessen tatsächlichen Aufenthalt ein. Am 10. April 2002 unterbreitete das Kantonale Steueramt Zürich den Beschwerdeführern den Einschätzungsvorschlag für die Staats- und Gemeindesteuern 1999. Gleichentags orientierte es das Steueramt der Stadt Frauenfeld darüber, dass der Kanton Zürich die volle Steuerhoheit über die Beschwerdeführer für die Staats- und Gemeindesteuern pro 1999 beanspruche. Zu diesem Zeitpunkt hatten die Beschwerdeführer die vom Kanton Thurgau veranlagten Staats- und Gemeindesteuern für den selben Zeitraum bereits bezahlt. Wohl trifft somit zu, dass der im Jahre 1999 zur Gegenwartsbemessung übergegangene Kanton Zürich seinen unbeschränkten Steueranspruch nicht zumindest im Jahr geltend gemacht hat, das auf die betreffende Steuerperiode folgte (vgl. bereits BGE 74 I 117 S. 119; ferner Urteil 2P.214/1999 vom 2. Februar 2001 i.S. D.; BStPra 15 404 E. 3), sondern erst eineinviertel Jahre später. Indessen wird die Verzögerung zum Teil durch die Fristverlängerung von fast einem halben Jahr zur Einreichung der Steuererklärung, hauptsächlich aber durch den weiteren Umstand erklärt, dass für die Veranlagungsbehörden im Umstellungsjahr sowie im darauf folgenden Jahr zahl- und umfangreiche zusätzliche Arbeiten anfielen, die gewisse Verzögerungen als unvermeidlich erscheinen lassen und zur Folge haben müssen, dass die Regeln über die Verwirkung kollidierender Steueransprüche in der Übergangsphase nicht mit aller Strenge gehandhabt werden können. Der Steueranspruch des Kantons Zürich kann daher nicht als wegen ungebührlich langem Zuwarten bis zur Geltendmachung verwirkt bezeichnet werden.</w:t>
      </w:r>
    </w:p>
    <w:p>
      <w:r>
        <w:rPr>
          <w:b/>
        </w:rPr>
        <w:t>E. 4</w:t>
      </w:r>
    </w:p>
    <w:p>
      <w:r>
        <w:t>Befand sich demnach der tatsächliche Lebensmittelpunkt beider Ehegatten - und damit ihr gemeinsames Hauptsteuerdomizil - 1999 im Kanton Zürich, so können sie ihre im Kanton Thurgau für dieselbe Periode bezahlten Steuern zurückfordern. Vom kollidierenden Zürcher Besteuerungsanspruch haben sie durch den Einschätzungsvorschlag vom 10. April 2002 Kenntnis erlangt und danach keine weiteren Zahlungen an das Steueramt Frauenfeld geleistet. Somit haben sie ihr Beschwerderecht gegenüber dem Kanton Thurgau nicht verwirkt (vgl. dazu auch BGE 123 I 264 E. 2d S. 267; StE 2000 A 24.5 4 E. 4, mit weiteren Hinweisen). Hingegen kann, wie schon festgehalten (vgl. E. 1.2), insoweit nicht auf die Beschwerde eingetreten werden, als beantragt wird, nebst den zuviel entrichteten Steuern sei auch ein Zins zu bezahlen.</w:t>
      </w:r>
    </w:p>
    <w:p>
      <w:r>
        <w:rPr>
          <w:b/>
        </w:rPr>
        <w:t>E. 5</w:t>
      </w:r>
    </w:p>
    <w:p>
      <w:r>
        <w:t>Soweit auf die vorliegende Beschwerde einzutreten ist, ist sie gegenüber dem Kanton Zürich abzuweisen, aber insofern gutzuheissen, als sie sich gegen den Kanton Thurgau richtet. Dieser hat die für 1999 bezogenen Steuern zurückzuerstatten. Auch wird er kosten- und entschädigungspflichtig (Art. 156 in Verb. mit Art. 153 und 153a OG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