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2P.180/2001 vom 25. Februar 2002</w:t>
      </w:r>
    </w:p>
    <w:p>
      <w:r>
        <w:t>Bundesgericht, 2002-02-25, DE</w:t>
      </w:r>
    </w:p>
    <w:p>
      <w:r>
        <w:rPr>
          <w:b/>
        </w:rPr>
        <w:t xml:space="preserve">Quelle: </w:t>
      </w:r>
      <w:r>
        <w:t>https://mcp.opencaselaw.ch/entscheid/bger_2P.180_2001</w:t>
      </w:r>
    </w:p>
    <w:p>
      <w:r>
        <w:t>FR: TF 2P.180/2001 du 25 février 2002</w:t>
      </w:r>
    </w:p>
    <w:p>
      <w:r>
        <w:t>IT: TF 2P.180/2001 del 25 febbraio 2002</w:t>
      </w:r>
    </w:p>
    <w:p>
      <w:pPr>
        <w:pStyle w:val="Heading2"/>
      </w:pPr>
      <w:r>
        <w:t>Regeste</w:t>
      </w:r>
    </w:p>
    <w:p>
      <w:r>
        <w:t>Öffentliche Finanzen &amp; Abgaberecht</w:t>
      </w:r>
    </w:p>
    <w:p>
      <w:pPr>
        <w:pStyle w:val="Heading2"/>
      </w:pPr>
      <w:r>
        <w:t>Erwägungen</w:t>
      </w:r>
    </w:p>
    <w:p>
      <w:r>
        <w:rPr>
          <w:b/>
        </w:rPr>
        <w:t>E. 1</w:t>
      </w:r>
    </w:p>
    <w:p>
      <w:r>
        <w:t>Mit der staatsrechtlichen Beschwerde wird nicht das kantonale Verfahren fortgeführt, sondern ein neues Verfahren eröffnet, mit welchem das Bundesgericht den angefochtenen kantonalen Entscheid nur unter spezifischen, namentlich verfassungsmässigen Aspekten prüft ( Art. 84 OG ). Das wirkt sich auch auf die Art der Beschwerdebegründung aus: Gemäss Art. 90 Abs. 1 lit. b OG muss die Beschwerdeschrift die wesentlichen Tatsachen und eine kurz gefasste Darlegung darüber enthalten, welche verfassungsmässigen Rechte und inwiefern sie durch den angefochtenen Entscheid verletzt worden sein sollen. Das Bundesgericht prüft im Verfahren der staatsrechtlichen Beschwerde nur die ausdrücklich erhobenen und ausreichend substanziierten Rügen. Mit staatsrechtlicher Beschwerde können zudem grundsätzlich keine Tatsachen oder Beweismittel vorgebracht werden, die nicht bereits im kantonalen Verfahren geltend gemacht wurden (vgl. BGE 107 Ia 187 E. 2a; 108 II 69 E. 1). Die Begründung für diese Rechtsprechung ist darin zu erblicken, dass der kantonalen Instanz nicht vorgeworfen werden kann, sie habe verfassungswidrig entschieden, wenn sie Tatsachen oder Beweismittel, die im kantonalen Verfahren nicht vorgebracht wurden, nicht berücksichtigt hat. Nur unter diesem eingeschränkten Gesichtswinkel sind die Vorbringen der Beschwerdeführerin zu prüfen.</w:t>
      </w:r>
    </w:p>
    <w:p>
      <w:r>
        <w:rPr>
          <w:b/>
        </w:rPr>
        <w:t>E. 2</w:t>
      </w:r>
    </w:p>
    <w:p>
      <w:r>
        <w:t>Die Beschwerdeführerin rügt die Verletzung ihres verfassungsmässigen Anspruchs auf ein unabhängiges, unvoreingenommenes und unparteiisches Gericht ( Art. 30 Abs. 1 BV ). Sie sieht dieses Grundrecht dadurch verletzt, dass Verwaltungsrichter X.________, der am vorliegend angefochtenen Sachentscheid mitwirkte, befangen gewesen sei. Die Befangenheit begründet die Beschwerdeführerin damit, dass Verwaltungsrichter X.________ bereits als Einzelrichter am 26. Januar 2000 bzw. 22. November 2000 in einem Fall bezüglich anderer Steuerpflichtiger zwei Entscheide gefällt habe. Vor dem Hintergrund dieser krass fehlerhaften einzelrichterlichen Entscheide müsse eine Voreingenommenheit und Befangenheit von Verwaltungsrichter X.________ auch im vorliegenden Fall angenommen werden. Wie das Verwaltungsgericht im angefochtenen Entscheid zu Recht dargelegt hat, kann bei den Parteien eine gewisse Besorgnis der Voreingenommenheit und damit Misstrauen in das Gericht immer dann entstehen, wenn einzelne Richter bereits in einem früheren Zeitpunkt in amtlicher Funktion mit der konkreten Streitsache schon einmal zu tun hatten ( BGE 114 Ia 50 E. 3d S. 57; ferner BGE 126 I 68 E. 3d mit weiteren Hinweisen). Eine Voreingenommenheit oder Befangenheit von Verwaltungsrichter X.________ kann aber nicht bereits darin erblickt werden, dass er in einer Streitsache mit vergleichbarem Sachverhalt bezüglich anderer Steuerpflichtiger mitwirkte und mindestens teilweise die gleichen Rechtsfragen zu beurteilen waren. Das anerkennt auch die Beschwerdeführerin. Sie macht jedoch geltend, Verwaltungsrichter X.________ müsse aufgrund der "in die Augen springenden", "krass falschen" Rechtsanwendung als voreingenommen bzw. befangen betrachtet werden. Den Vorwurf der Befangenheit erhob die Beschwerdeführerin bereits vor dem Verwaltungsgericht. Sie führte jedoch nicht näher aus, weshalb Verwaltungsrichter X.________ aufgrund dieser Entscheide in derartiger Intensität vorbefasst sein sollte, dass er befangen erscheine. Das Verwaltungsgericht konnte sich daher mit der angeblichen Vorbefassung von Verwaltungsrichter X.________ nicht näher befassen. Die Beschwerdeführerin hat es somit unterlassen, bereits in der kantonalen Instanz eine genügende Sachdarstellung zu geben, weshalb die heutigen Vorbringen neu und nicht zu hören sind (vorn E. 1).</w:t>
      </w:r>
    </w:p>
    <w:p>
      <w:r>
        <w:rPr>
          <w:b/>
        </w:rPr>
        <w:t>E. 3</w:t>
      </w:r>
    </w:p>
    <w:p>
      <w:r>
        <w:t>Die Beschwerdeführerin rügt die Verletzung der allgemeinen Verfahrensgarantien von Art. 29 Abs. 1 und 2 BV , die den Anspruch auf eine gleiche und gerechte Behandlung sowie den Anspruch auf rechtliches Gehör beinhalten. Diese Verfahrensgarantien sollen dadurch verletzt worden sein, dass das Verwaltungsgericht das Verfahren nicht bis zu den Entscheiden des Bundesgerichts in den Verfahren in Sachen S. (Geschäfts Nr. 2A.114/2001 und 2P.9/2001) sistiert habe. Gemäss Art. 86 Abs. 1 OG ist die staatsrechtliche Beschwerde erst zulässig, wenn von den kantonalen Rechtsmitteln Gebrauch gemacht worden ist. Dazu gehört jeder kantonale Rechtsbehelf, der der Beschwerdeführerin Anspruch auf einen Entscheid der angerufenen Behörde gibt und geeignet ist, den behaupteten rechtlichen Nachteil zu beseitigen ( BGE 112 Ia 180 E. 1c; 110 Ia 71 , 136 E. 2a). Das trifft nach ständiger Rechtsprechung des Bundesgerichts auch auf die Revision nach § 155 Abs. 1 lit. b des Zürcher Steuergesetzes vom 8. Juni 1997 (StG) zu (vgl. ASA 63 S. 168 E. 1, zum gleichlautenden § 108 Abs. 1 lit. c des Zürcher Steuergesetzes vom 8. Juli 1951; ferner BGE 110 Ia 136 ). Die von der Beschwerdeführerin angerufenen Bestimmungen über die Gewährleistung eines gerechten Verfahrens und des rechtlichen Gehörs sind "wesentliche Verfahrensvorschriften", deren Verletzung im Kanton gestützt auf § 155 Abs. 1 lit. b StG mit Revision hätte geltend gemacht werden können. Der mit staatsrechtlicher Beschwerde angefochtene Entscheid ist folglich, was die Rügen wegen Verletzung der allgemeinen Verfahrensgarantien betrifft, nicht letztinstanzlich. 4.-Unter dem Titel "offensichtliche Verletzung von Verfahrensgarantien" rügt die Beschwerdeführerin ferner, dass die kantonalen Instanzen den Begriff der "so genannten neuen Tatsachen", die Anlass für die Revision oder für ein Nachsteuerverfahren geben können, unterschiedlich auslegen, je nachdem, ob die Interessen des Steuerpflichtigen oder jene des Fiskus auf dem Spiel stehen. Das Verwaltungsgericht verletze ihren Anspruch auf eine gerechte Behandlung ( Art. 29 Abs. 1 BV ), wenn es bei der Nachbesteuerung - zugunsten des Fiskus - nicht die gleich hohen Anforderungen stelle wie bei der Revision einer rechtskräftigen Veranlagung zugunsten des Steuerpflichtigen. Auch diese Rüge müsste zur Erschöpfung des kantonalen Instanzenzuges nach Art. 86 OG mit einem Revisionsgesuch im Sinne von § 155 Abs. 1 lit. b StG geltend gemacht werden, wenn es tatsächlich um Verfahrensgarantien ginge (vorn E. 3). Genau genommen stehen aber bei dieser Rüge nicht Verfahrensgarantien in Frage, sondern das Gebot der rechtsgleichen Behandlung und das Willkürverbot nach Art. 8 und 9 BV . Die Beschwerdeführerin macht geltend, das Verwaltungsgericht lege den Begriff der "so genannten neuen Tatsachen" verschieden aus, je nachdem, ob es um ein Nachsteuerverfahren oder um ein Revisionsverfahren gehe. Diese Rüge ist unter dem Gesichtswinkel von Art. 86 OG zulässig, doch ist sie offensichtlich unbegründet: Die Beschwerdeführerin geht davon aus, das Gesetz regle die Voraussetzungen der Revision rechtskräftiger Veranlagungs- und Steuerentscheide genau gleich wie die Voraussetzungen für ein Nachsteuerverfahren. Das trifft nicht zu. Nach Zweck und Ausgestaltung bildet zwar die Revision zu Gunsten des Steuerpflichtigen das Gegenstück zur Nachsteuer. Doch sind die Pflichten und Obliegenheiten im Veranlagungsverfahren für den Steuerpflichtigen einerseits und die Veranlagungsbehörden andererseits nicht die gleichen. Der Steuerpflichtige hat namentlich eine Steuererklärung einzureichen und im Veranlagungsverfahren mitzuwirken. Diese Pflichten und Obliegenheiten bewirken auch, dass die Abänderung rechtskräftiger Entscheide durch Revision an andere Voraussetzungen anknüpfen muss als die Abänderung rechtskräftiger Veranlagungen durch Nachbesteuerung. Das zeigt auch ein Blick in die massgeblichen gesetzlichen Bestimmungen ( § § 155 ff. und 160 ff. StG bzw. 102 ff. und 108 ff. aStG). Die Beschwerdeführerin müsste daher schon darlegen, inwiefern die gesetzliche Regelung ihre verfassungsmässigen Rechte verletze oder inwiefern das Verwaltungsgericht sich über gesetzliche Vorschriften über die Nachbesteuerung willkürlich hinweggesetzt hätte. Eine derartige Begründung enthält die Beschwerdeeingabe nicht.</w:t>
      </w:r>
    </w:p>
    <w:p>
      <w:r>
        <w:rPr>
          <w:b/>
        </w:rPr>
        <w:t>E. 5</w:t>
      </w:r>
    </w:p>
    <w:p>
      <w:r>
        <w:t>In der Sache selbst rügt die Beschwerdeführerin, das Verwaltungsgericht habe völlig unbegründet und haltlos Angaben und Beweismittel der Steuerpflichtigen nicht berücksichtigt. Stattdessen habe es für die Begründung des Entscheids auf ein Urteil vom 26. Januar 2000 verwiesen. Die Beschwerdeführerin erblickt darin eine willkürliche Rechtsanwendung und Verweigerung ihres Anspruchs auf rechtliches Gehör. Das Verwaltungsgericht hatte die Frage der Realisation von Vermögensertrag beim inzwischen konkursiten Vermögensverwalter B.________ bereits in einem Urteil vom 26. Januar 2000 behandelt (ZStP 2000 S. 191 ff.). Es sah im vorliegenden Fall keine Veranlassung, von dieser Rechtsprechung abzuweichen und bestätigte die Nachbesteuerung. Die Entscheidbegründung mag kurz sein, doch konnte die Beschwerdeführerin daraus ersehen, weshalb das Verwaltungsgericht den Steueranspruch als ausgewiesen betrachtete. Eine Verweigerung des rechtlichen Gehörs durch ungenügende Begründung des Entscheides liegt nicht vor. Die Beschwerdeführerin legt im Übrigen nicht dar, inwiefern das Verwaltungsgericht willkürlich entschieden oder welche massgeblichen "Angaben und Beweismittel" das Gericht falsch oder überhaupt nicht gewürdigt haben soll. Dass sie einige Male das Wort Willkür gebraucht, ändert daran nichts. Die Beschwerde entbehrt insoweit auch einer genügenden Begründung im Sinne von Art. 90 OG .</w:t>
      </w:r>
    </w:p>
    <w:p>
      <w:r>
        <w:rPr>
          <w:b/>
        </w:rPr>
        <w:t>E. 6</w:t>
      </w:r>
    </w:p>
    <w:p>
      <w:r>
        <w:t>Die Beschwerdeführerin macht geltend, sie habe bereits im Verfahren vor dem kantonalen Steueramt bestritten, dass neue Tatsachen nach § 102 aStG für die Einleitung eines Nachsteuerverfahrens vorlägen. Sie habe ihre Vermögensanlage bei der B.________ Portfolio Management deklariert (steuerbarer Ertrag Fr. 0). Entgegen den unzutreffenden Tatsachenbehauptungen des Verwaltungsgerichts seien den Steuerbehörden Anlageformen, wie sie hier in Frage stünden, bereits bekannt gewesen, als die streitigen Veranlagungen vorgenommen wurden. Eine allfällige Unterbesteuerung sei daher allein durch die Steuerbehörden zu vertreten. Die Beschwerdeführerin verweist (u.a.) auch auf ein Urteil vom 11. Dezember 1997, in welchem sich die Steuer-Rekurskommission III des Kantons Zürich mit der Frage befasste, ob es bei den Gutschriften der B.________ Portfolio Management um Vermögensertrag gehe. Diese Rüge dringt nicht durch. Die Frage, ob neue Tatsachen oder Beweismittel für die Durchführung eines Nachsteuerverfahrens vorliegen ( § 102 aStG ), ist im Lichte der von der Steuerpflichtigen gemachten Angaben und dem Wissen der Veranlagungsbehörde zu entscheiden. Es ist unbestritten, dass die Beschwerdeführerin in den Wertschriftenverzeichnissen den steuerbaren Ertrag aus ihren Vermögensanlagen bei B.________ mit dem Wert 0 angegeben hat. Es ist nicht nachgewiesen, dass der Steuerbeamte bei der Veranlagung der Beschwerdeführerin vom Vorgehen des B.________ Kenntnis hatte, auch wenn einzelne Behörden im Kanton Zürich sich bereits mit Fällen von Vermögensanlagen bei B.________ zu befassen hatten. Vielmehr stellte er auf die von der Beschwerdeführerin eingereichten Steuererklärungen ab, was zulässig war. Das tatsächliche Vorgehen von B.________ war für die Veranlagungsbehörde somit neu. Inwiefern das Verwaltungsgericht aktenwidrige Feststellungen getroffen oder § 102 aStG willkürlich angewendet haben soll, indem es neue Tatsachen als Voraussetzung für die Einleitung eines Nachsteuerverfahrens bejahte, ist unter diesen Umständen nicht ersichtlich und wird von der Beschwerdeführerin nicht dargelegt. Die Rüge ist unbegründet, soweit sie nach Art. 90 OG genügend begründet ist.</w:t>
      </w:r>
    </w:p>
    <w:p>
      <w:r>
        <w:rPr>
          <w:b/>
        </w:rPr>
        <w:t>E. 7</w:t>
      </w:r>
    </w:p>
    <w:p>
      <w:r>
        <w:t>Im Übrigen erschöpft sich die Beschwerde in appellatorischer Kritik am angefochtenen Entscheid. Es geht daraus nicht hervor, inwiefern der angefochten Entscheid schlechthin unhaltbar, willkürlich sein könnte. Das betrifft namentlich die Bestreitung, dass die dem Anlagekonto gutgeschriebenen Beträge steuerpflichtiges Einkommen bilden würden. Der Entscheid des Verwaltungsgerichts könnte in diesem Punkt auch schwerlich als willkürlich bezeichnet werden. Wie das Bundesgericht bereits im Urteil 2A.114/2001 vom 10. Juli 2001 für die direkte Bundessteuer mit freier Kognition in Bezug auf die Vermögensanlagen bei B.________ entschieden hat, ist der Forderungserwerb als einkommensbildend zu betrachten. Mit der Gutschrift des Vermögensertrages durch den Vermögensverwalter hätten die Anleger darüber verfügen können und sei das Einkommen als realisiert anzusehen. Auf den Erwerbsgrund komme es nicht an. Auch Einkommen aus widerrechtlicher oder unerlaubter Handlung unterliege der Steuer. Dass der Vermögensverwalter die anvertrauten Gelder nicht im Sinne des Verwaltungsauftrages angelegt, sondern daraus nach einem sog. Schneeballsystem die Gewinne finanziert habe, ändere an der Steuerbarkeit der Gewinngutschriften nichts. Dieses Urteil ist dem Vertreter der Beschwerdeführerin bekannt. Wenn daher das Verwaltungsgericht bei vergleichbarer gesetzlicher Grundlage hinsichtlich der kantonalen Steuern gleich entschieden hat, verfiel es nicht in Willkür. Auf die Vorbringen der Beschwerdeführerin in der Eingabe vom 31. Januar 2002 ist im Übrigen nicht einzutreten. Diese Eingabe konnte nicht dazu dienen, die Beschwerdebegründung nach Ablauf der Beschwerdefrist zu ergänzen.</w:t>
      </w:r>
    </w:p>
    <w:p>
      <w:r>
        <w:rPr>
          <w:b/>
        </w:rPr>
        <w:t>E. 8</w:t>
      </w:r>
    </w:p>
    <w:p>
      <w:r>
        <w:t>Die Beschwerde ist abzuweisen, soweit darauf einzutreten ist. Die Gerichtsgebühr ist der Beschwerdeführerin zu auferlegen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