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2P.164/2006 vom 8. Januar 2007</w:t>
      </w:r>
    </w:p>
    <w:p>
      <w:r>
        <w:t>Bundesgericht, 2007-01-08, FR</w:t>
      </w:r>
    </w:p>
    <w:p>
      <w:r>
        <w:rPr>
          <w:b/>
        </w:rPr>
        <w:t xml:space="preserve">Quelle: </w:t>
      </w:r>
      <w:r>
        <w:t>https://mcp.opencaselaw.ch/entscheid/bger_2P.164_2006</w:t>
      </w:r>
    </w:p>
    <w:p>
      <w:r>
        <w:t>FR: TF 2P.164/2006 du 8 janvier 2007</w:t>
      </w:r>
    </w:p>
    <w:p>
      <w:r>
        <w:t>IT: TF 2P.164/2006 del 8 gennaio 2007</w:t>
      </w:r>
    </w:p>
    <w:p>
      <w:pPr>
        <w:pStyle w:val="Heading2"/>
      </w:pPr>
      <w:r>
        <w:t>Erwägungen</w:t>
      </w:r>
    </w:p>
    <w:p>
      <w:r>
        <w:rPr>
          <w:b/>
        </w:rPr>
        <w:t>E. 1</w:t>
      </w:r>
    </w:p>
    <w:p>
      <w:r>
        <w:t>Le Tribunal fédéral examine d'office et librement la recevabilité des recours qui lui sont soumis ( ATF 132 I 140 consid. 1.1 p. 142).</w:t>
      </w:r>
    </w:p>
    <w:p>
      <w:r>
        <w:t>L'ancien droit demeure applicable en l'espèce ( art. 132 al. 1 LTF ).</w:t>
      </w:r>
    </w:p>
    <w:p>
      <w:r>
        <w:rPr>
          <w:b/>
        </w:rPr>
        <w:t>E. 1.1</w:t>
      </w:r>
    </w:p>
    <w:p>
      <w:r>
        <w:t>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1.2</w:t>
      </w:r>
    </w:p>
    <w:p>
      <w:r>
        <w:t>Sous réserve d'exceptions non réalisées en l'espèce, le recours de droit public ne peut tendre qu'à l'annulation de la décision attaquée ( ATF 132 I 68 consid. 1.5 p. 71 et la jurisprudence citée). Dans la mesure où la recourante demande autre chose que l'annulation de l'arrêt attaqué, ses conclusions sont irrecevables.</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w:t>
      </w:r>
    </w:p>
    <w:p>
      <w:r>
        <w:rPr>
          <w:b/>
        </w:rPr>
        <w:t>E. 2</w:t>
      </w:r>
    </w:p>
    <w:p>
      <w:r>
        <w:t>La recourante se plaint d'une violation du principe de la bonne foi. A son avis, la Ville de Genève ne lui aurait pas retrouvé un poste dans l'administration communale conforme aux engagements qu'elle avait pris à son endroit.</w:t>
      </w:r>
    </w:p>
    <w:p>
      <w:r>
        <w:rPr>
          <w:b/>
        </w:rPr>
        <w:t>E. 2.1</w:t>
      </w:r>
    </w:p>
    <w:p>
      <w:r>
        <w:t>Bien que présenté pour la première fois devant le Tribunal fédéral, ce grief est recevable. En effet, la jurisprudence admet la recevabilité de nouveaux moyens de droit lorsque, comme c'est le cas en l'espèce, l'autorité cantonale de dernière instance disposait d'un libre pouvoir d'examen et devait appliquer le droit d'office (art. 19 de la loi du 12 septembre 1985 sur la procédure administrative [LPA/GE; RSGE E 5 10]), que le grief ne se confond pas avec l'arbitraire et que le comportement de la recourante n'est pas contraire à la bonne foi ( ATF 119 Ia 88 consid. 1a p. 90-91 et la jurisprudence citée; Walter Kälin, Das Verfahren der staatsrechtlichen Beschwerde, 2e éd., Berne 1994, p. 370-371).</w:t>
      </w:r>
    </w:p>
    <w:p>
      <w:r>
        <w:rPr>
          <w:b/>
        </w:rPr>
        <w:t>E. 2.2</w:t>
      </w:r>
    </w:p>
    <w:p>
      <w:r>
        <w:t>Découlant directement de l' art. 9 Cst. et valant également en droit fiscal,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s.;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 ATF 131 II 627 consid. 6.1 p. 636 s.; 129 I 161 consid. 4.1 p. 170; 122 II 113 consid. 3b/cc p. 123 et les références citées).</w:t>
      </w:r>
    </w:p>
    <w:p>
      <w:r>
        <w:rPr>
          <w:b/>
        </w:rPr>
        <w:t>E. 2.3</w:t>
      </w:r>
    </w:p>
    <w:p>
      <w:r>
        <w:t>En l'espèce, dans sa décision du 18 juillet 2001, la Ville de Genève a assuré la recourante qu'elle respecterait ses engagements à son égard et veillerait à ce qu'elle puisse retrouver rapidement un poste stable dans l'administration, soit dans le service qui l'accueillait, soit dans un autre poste correspondant à sa situation antérieure. Quoi qu'en pense la recourante sur le contenu de cette promesse, force est de constater que la Ville ne s'est pas engagée à lui garantir un poste stable qui corresponde "à une évolution de carrière possible", mais bien à l'affecter à un poste stable "correspondant à sa situation antérieure". Or, lorsque son contrat de travail a été résilié en 1999, la recourante occupait le poste d'adjointe au chef du service des ressources humaines de la Ville, pour un traitement correspondant à celui de la classe 13 et avait obtenu deux annuités extraordinaires en 1996 et en 1997. Il s'ensuit qu'en réintégrant la recourante en juillet 2001 au titre de conseiller en personnel adjoint du directeur du département des affaires culturelles en classe 13 de l'échelle des traitements, le Conseil administratif de la Ville de Genève a rendu une décision qui consacre une situation professionnelle qui correspondait bien à la situation dans laquelle se trouvait la recourante en 1999. On ne saurait en effet suivre la recourante qui estime que sa "situation antérieure" comprenait une évolution de carrière que la Ville de Genève se serait aussi engagée à lui garantir. Certes, elle avait bénéficié avant 1999 d'importantes augmentations de traitement, mais celles-ci étaient liées à ses excellentes compétences professionnelles et non pas au passage du poste qu'elle occupait dans une catégorie de traitement supérieure ou à une promotion dans un poste supérieur.</w:t>
      </w:r>
    </w:p>
    <w:p>
      <w:r>
        <w:t>Dans ces conditions, en décidant le 22 septembre 2004 de classer la fonction de la recourante en 13e catégorie de l'échelle des traitements, la Ville de Genève n'a pas violé le principe de la bonne foi.</w:t>
      </w:r>
    </w:p>
    <w:p>
      <w:r>
        <w:rPr>
          <w:b/>
        </w:rPr>
        <w:t>E. 2.4</w:t>
      </w:r>
    </w:p>
    <w:p>
      <w:r>
        <w:t>Dans la mesure où la recourante tient l'arrêt du Tribunal administratif pour arbitraire, en ce qu'il aurait nié le caractère de sanction dissimulée de la décision du 22 septembre 2004, son grief se confond avec celui de violation de la bonne foi et doit être rejeté. Au surplus, elle se plaint en réalité de ne pas avoir obtenu de promotion; son grief est irrecevable dès lors qu'elle n'indique pas avoir un droit à une promotion.</w:t>
      </w:r>
    </w:p>
    <w:p>
      <w:r>
        <w:rPr>
          <w:b/>
        </w:rPr>
        <w:t>E. 3</w:t>
      </w:r>
    </w:p>
    <w:p>
      <w:r>
        <w:t>Invoquant l' art. 29 al. 1 Cst. , la recourante reproche au Tribunal administratif d'avoir déclaré tardive et irrecevable la demande de récusation dirigée contre B.________ alors qu'il présidait la commission d'évaluation dont la réunion s'est tenue le 26 mai 2004.</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w:t>
      </w:r>
    </w:p>
    <w:p>
      <w:r>
        <w:t>Conformément au principe de la bonne foi, il appartient aux parties de faire valoir sans délai, sous peine de péremption, les motifs de récusation. Une demande de récusation tardive apparaît en effet abusive lorsque son auteur laisse la procédure suivre son cours et invoque après coup des moyens dont il connaissait l'existence ( ATF 124 I 121 consid. 2 p. 122 s.; 121 I 225 consid. 3 p. 229; 119 Ia 221 consid. 5a p. 228 s.).</w:t>
      </w:r>
    </w:p>
    <w:p>
      <w:r>
        <w:rPr>
          <w:b/>
        </w:rPr>
        <w:t>E. 3.2</w:t>
      </w:r>
    </w:p>
    <w:p>
      <w:r>
        <w:t>En l'espèce, la recourante a fonctionné de 1995 à 1999 comme collaboratrice proche de B.________, alors adjoint du chef du service des ressources humaines de la Ville; en février 1999, elle avait déposé une plainte pénale contre lui. Dans ces conditions, elle pouvait aisément le reconnaître lorsqu'elle s'est présentée le 26 mai 2004 pour être entendue par la commission d'évaluation qu'il présidait. Au demeurant, elle ne nie pas l'avoir immédiatement reconnu mais n'a pour autant pas exprimé de réserve à son encontre, pas même dans les jours qui ont immédiatement suivi l'audition du 26 mai 2004. Le Tribunal administratif pouvait par conséquent considérer comme tardive une demande de récusation déposée en procédure de recours seulement, à un moment où la commission plénière d'évaluation des fonctions avait déjà rendu l'avis fondant la décision formelle rendue le 22 septembre 2004 par le Conseil administratif de la Ville de Genève.</w:t>
      </w:r>
    </w:p>
    <w:p>
      <w:r>
        <w:rPr>
          <w:b/>
        </w:rPr>
        <w:t>E. 3.3</w:t>
      </w:r>
    </w:p>
    <w:p>
      <w:r>
        <w:t>La recourante reproche au Tribunal administratif une appréciation arbitraire des preuves; il n'aurait pas tenu compte de ce qu'elle était "tendue et très mal lors de l'audition" et s'était alors "fermée comme une huître" comme cela ressortait de son audition devant lui. Ce grief doit être écarté. Elle n'établit en effet pas s'être trouvée dans l'incapacité de présenter une requête immédiate de récusation. Dans ces conditions, la requête du 17 juin 2004 aux fins de connaître le nom des membres des commissions apparaît bien plus comme une manière de rattraper l'absence de demande de récusation que comme une demande de renseignement dictée par une réelle méconnaissance de l'identité des membres, en particulier de B.________. Mal fondé, ce grief doit par conséquent être rejeté.</w:t>
      </w:r>
    </w:p>
    <w:p>
      <w:r>
        <w:rPr>
          <w:b/>
        </w:rPr>
        <w:t>E. 3.4</w:t>
      </w:r>
    </w:p>
    <w:p>
      <w:r>
        <w:t>La recourante prétend que F.________ faisait partie des commissions ayant siégé les 25 mars et 26 mai 2004, bien que son nom ne figure pas sur les listes transmises par la Ville de Genève. Elle fait valoir qu'il aurait dû se récuser. Toutefois, le grief doit être écarté. En effet, les considérations émises à propos de la récusation de B.________ valent également en ce qui concerne F.________.</w:t>
      </w:r>
    </w:p>
    <w:p>
      <w:r>
        <w:rPr>
          <w:b/>
        </w:rPr>
        <w:t>E. 4</w:t>
      </w:r>
    </w:p>
    <w:p>
      <w:r>
        <w:t>Invoquant l' art. 29 al. 2 Cst. , la recourante affirme que le Tribunal administratif aurait violé son droit d'être entendue, en refusant l'audition dûment requise du directeur du département des affaires culturelles. A son avis, le Tribunal administratif aurait de ce fait omis de prendre en considération les directives de ce dernier lui enjoignant de respecter la confidentialité des dossiers durant la procédure d'évaluation de sa fonction. Le Tribunal administratif n'aurait en outre pas suffisamment motivé son arrêt sur ce point.</w:t>
      </w:r>
    </w:p>
    <w:p>
      <w:r>
        <w:rPr>
          <w:b/>
        </w:rPr>
        <w:t>E. 4.1</w:t>
      </w:r>
    </w:p>
    <w:p>
      <w:r>
        <w:t>Comme la recourante n'invoque la violation d'aucune disposition cantonale de procédure, son grief doit être examiné exclusivement à la lumière des garanties de l' art. 29 al. 2 Cst.</w:t>
      </w:r>
    </w:p>
    <w:p>
      <w:r>
        <w:t>Selon la jurisprudence, 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Il implique également pour l'autorité l'obligation de motiver sa décision; elle peut toutefois se limiter aux points essentiels pour la décision à rendre ( ATF 130 II 530 consid. 4.3 p. 540, 473 consid. 4.1 p. 477).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rPr>
          <w:b/>
        </w:rPr>
        <w:t>E. 4.2</w:t>
      </w:r>
    </w:p>
    <w:p>
      <w:r>
        <w:t>Le Tribunal administratif a constaté que l'analyse de la fonction de la recourante s'était fondée sur le cahier des charges qu'elle avait elle-même rédigé. Il a également constaté que l'intéressée avait décidé de taire et de cacher à l'analyste des dossiers sur lesquels elle travaillait pour des motifs de confidentialité. Il a toutefois jugé que le secret de fonction n'était pas forcément opposable au fonctionnaire chargé de l'évaluation de la fonction et que même si un certain nombre de dossiers ne pouvaient objectivement pas être remis tels quels à l'analyste, la recourante aurait pu lui fournir une explication en termes généraux, assortie d'une mise en évidence explicite de leur caractère confidentiel. Dans ces conditions, quoi qu'en pense la recourante, en jugeant qu'elle n'avait pas établi que de tels dossiers ne pouvaient être divulgués à un fonctionnaire extérieur au département aux fins d'une évaluation de fonction, le Tribunal administratif a suffisamment motivé son refus d'entendre C.________. En effet, du moment qu'il ne s'agissait pas d'éclaircir une question de fait mais d'examiner une question de droit relative à l'existence et l'étendue d'un secret de fonction, l'audition d'un témoin aux fins d'établir les mobiles de la recourante n'était ni nécessaire ni pertinente. Force est plutôt de constater que la recourante n'a pas demandé la levée du secret de fonction auquel elle s'estimait astreinte ni n'a essuyé de refus à cette demande. Le Tribunal administratif pouvait par conséquent refuser d'entendre C.________ sans violer le droit d'être entendu de la recourante.</w:t>
      </w:r>
    </w:p>
    <w:p>
      <w:r>
        <w:rPr>
          <w:b/>
        </w:rPr>
        <w:t>E. 5</w:t>
      </w:r>
    </w:p>
    <w:p>
      <w:r>
        <w:t>La recourante affirme enfin que le Tribunal administratif aurait violé le droit à l'égalité, en refusant d'annuler une décision qui bloque sa rémunération et lui interdit toute progression future, d'autres adjoints ayant dans le même temps bénéficié de promotion au sein de l'administration communale. Toutefois, dans une argumentation très générale, la recourante se borne à faire référence à "d'autres adjoints aux chefs de service" engagés en même temps qu'elle sans préciser en quoi ils occuperaient une fonction comparable à la sienne ni dans quelle mesure une telle fonction suppose une promotion. Ses affirmations ne satisfont pas aux exigences strictes de l' art. 90 al. 1 lettre b OJ . Son grief est par conséquent irrecevable.</w:t>
      </w:r>
    </w:p>
    <w:p>
      <w:r>
        <w:rPr>
          <w:b/>
        </w:rPr>
        <w:t>E. 6</w:t>
      </w:r>
    </w:p>
    <w:p>
      <w:r>
        <w:t>Les considérants qui précèdent conduisent au rejet du recours dans la mesure où il est recevable.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