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2P.161/2003 vom 29. Oktober 2003</w:t>
      </w:r>
    </w:p>
    <w:p>
      <w:r>
        <w:t>Bundesgericht, 2003-10-29, DE</w:t>
      </w:r>
    </w:p>
    <w:p>
      <w:r>
        <w:rPr>
          <w:b/>
        </w:rPr>
        <w:t xml:space="preserve">Quelle: </w:t>
      </w:r>
      <w:r>
        <w:t>https://mcp.opencaselaw.ch/entscheid/bger_2P.161_2003</w:t>
      </w:r>
    </w:p>
    <w:p>
      <w:r>
        <w:t>FR: TF 2P.161/2003 du 29 octobre 2003</w:t>
      </w:r>
    </w:p>
    <w:p>
      <w:r>
        <w:t>IT: TF 2P.161/2003 del 29 ottobre 2003</w:t>
      </w:r>
    </w:p>
    <w:p>
      <w:pPr>
        <w:pStyle w:val="Heading2"/>
      </w:pPr>
      <w:r>
        <w:t>Regeste</w:t>
      </w:r>
    </w:p>
    <w:p>
      <w:r>
        <w:t>Grundrecht</w:t>
      </w:r>
    </w:p>
    <w:p>
      <w:pPr>
        <w:pStyle w:val="Heading2"/>
      </w:pPr>
      <w:r>
        <w:t>Erwägungen</w:t>
      </w:r>
    </w:p>
    <w:p>
      <w:r>
        <w:rPr>
          <w:b/>
        </w:rPr>
        <w:t>E. 1.1</w:t>
      </w:r>
    </w:p>
    <w:p>
      <w:r>
        <w:t>Angefochten ist ein letztinstanzlicher kantonaler Endentscheid, der sich auf kantonales Submissionsrecht stützt und gegen den als eidgenössisches Rechtsmittel einzig die staatsrechtliche Beschwerde zulässig ist ( Art. 84 Abs. 2, Art. 86 und Art. 87 OG ).</w:t>
      </w:r>
    </w:p>
    <w:p>
      <w:r>
        <w:rPr>
          <w:b/>
        </w:rPr>
        <w:t>E. 1.2</w:t>
      </w:r>
    </w:p>
    <w:p>
      <w:r>
        <w:t>Nach der neueren Rechtsprechung ist der in einem Submissionsverfahren übergangene Bewerber gemäss Art. 88 OG zur staatsrechtlichen Beschwerde legitimiert. Er kann den Vergabeentscheid nicht bloss - wie bisher - in formeller, sondern auch in materieller Hinsicht anfechten ( BGE 125 II 86 E. 4 S. 95 f. ; 125 I 406 E. 1 S. 408). Die Beschwerdeführer waren als offerierende Arbeitsgemeinschaft am vorliegenden Submissionsverfahren beteiligt, weshalb sie nach dem Gesagten befugt sind, das den Vergebungsentscheid schützende Urteil des Kantonsgerichts mit staatsrechtlicher Beschwerde anzufechten. Dieses Rechtsmittel steht auch dann offen, wenn mit dem ausgewählten Bewerber - wie es vorliegend am 2./4. Juni 2003 geschehen ist - bereits ein Vertrag abgeschlossen worden ist. Zwar wird die Gültigkeit dieses Vertrages durch die Gutheissung der Beschwerde eines Konkurrenten nicht berührt, doch behält der übergangene Bewerber insofern ein aktuelles und praktisches Interesse am Verfahren, als das Bundesgericht auf Grund der speziellen Regelung von Art. 9 des Bundesgesetzes vom 6. Oktober 1995 über den Binnenmarkt (Binnenmarktgesetz, BGBM; SR 943.02) in diesem Falle wenigstens die Bundesrechtswidrigkeit des angefochtenen Entscheides festzustellen hat, um dem Betroffenen die allfällige Geltendmachung von Schadenersatz zu ermöglichen ( BGE 125 II 86 E. 5b S. 97 f.). Das neben dem Begehren um Aufhebung des Kantonsgerichtsurteils (Ziff. 1) gestellte Feststellungsbegehren (Ziff. 3) der Beschwerdeführer ist daher zulässig. Die übrigen Anträge - ausgenommen diejenigen zu den Kostenfolgen - sind obsolet geworden bzw. von Anfang an unzulässig gewesen: Die ursprüngliche Ziff. 4 (Antrag auf Rückweisung zur Neuvergebung) wurde fallen gelassen; sodann kann der unterinstanzliche Entscheid des Staatsrates vorliegend nicht mitangefochten werden (vgl. Ziff. 2 des Rechtsbegehrens), zumal nicht dargetan wird, dass das Kantonsgericht nicht sämtliche erhobenen Rügen mit voller Kognition geprüft hätte (vgl. BGE 125 I 492 E. 1a/aa S. 493/494). Nicht entgegengehalten werden kann den Beschwerdeführern die auf einem offensichtlichen Versehen ihrerseits beruhende unpräzise Bezeichnung der Baulose (vgl. auch angefochtener Entscheid S. 5 oben).</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Macht der Beschwerdeführer - wie hier - eine Verletzung des Willkürverbots geltend, muss er anhand der angefochtenen Subsumtion im Einzelnen darlegen, inwiefern der Entscheid an einem qualifizierten und offensichtlichen Mangel leidet. Soweit die vorliegende Beschwerde diesen Anforderungen nicht genügt (vgl. E. 2), ist darauf nicht einzutreten.</w:t>
      </w:r>
    </w:p>
    <w:p>
      <w:r>
        <w:rPr>
          <w:b/>
        </w:rPr>
        <w:t>E. 2</w:t>
      </w:r>
    </w:p>
    <w:p>
      <w:r>
        <w:t>Die Beschwerdeführer werfen der Vergabebehörde zunächst vor, ihren Entscheid mangelhaft begründet zu haben, indem die massgebenden rechtlichen Bestimmungen nicht angeführt worden seien. Diese Rüge, für die sich die Beschwerdeführer auf Art. 8 BV sowie auf "Bestimmungen" der Interkantonalen Vereinbarung für das öffentliche Beschaffungswesen (IVöB; SR 172.056.4) stützen, vermag nicht durchzudringen. Das Kantonsgericht hat sich entgegen der Behauptung der Beschwerdeführer mit diesem Einwand im angefochtenen Entscheid durchaus befasst (E. 5, S. 7 ff.), indem es einlässlich darlegte, dass und inwiefern die Vergabebehörde vorliegend ihrer Begründungspflicht nachgekommen sei. Es nimmt auch auf die einschlägigen rechtlichen Bestimmungen Bezug. Die Beschwerdeführer setzen sich mit diesen Ausführungen nicht auseinander, weshalb auf diesen Punkt nicht weiter einzugehen ist (vgl. E. 1.3).</w:t>
      </w:r>
    </w:p>
    <w:p>
      <w:r>
        <w:rPr>
          <w:b/>
        </w:rPr>
        <w:t>E. 3.1</w:t>
      </w:r>
    </w:p>
    <w:p>
      <w:r>
        <w:t>Das Angebot der ARGE 1 wurde ausgeschlossen, weil diese sich geweigert habe, die erforderlichen Auskünfte zu erteilen. Das Kantonsgericht hat erwogen, die Vergabebehörde sei aufgrund der Wichtigkeit der vorgesehenen Anker und des Umfangs der Nullpositionen berechtigt gewesen, Informationen über die Preiskalkulation zu verlangen. Die Weigerung der ARGE, die entsprechenden Auskünfte zu erteilen, habe den Ausschluss des Angebots zur Folge haben können, auch wenn das Beschaffungsrecht diese Konsequenz - welche unabhängig davon sei, ob die Bewerberin allenfalls die verlangte Leistung auch zum offerierten Preis erbringen könnte - nicht ausdrücklich vorsehe. Der Ausschluss rechtfertige sich nicht wegen des aussergewöhnlich niedrigen Preises, sondern nur deswegen und wegen der Weigerung der ARGE 1, der Vergabebehörde die zu Recht verlangten Auskünfte zu erteilen (vgl. S. 8 und 10 des angefochtenen Entscheides). Das Departement macht in seiner Vernehmlassung geltend, die Preisanalyse der Nullpositionen sei als Kontroll- und Beurteilungsgrundlage nachverlangt worden. Die Preisanalyse stelle die einzige Möglichkeit eines Vergleiches mit den Preisen der übrigen Anbieter dar, die die fraglichen Positionen nicht als Nullpositionen eingesetzt hätten; sie diene zudem der Eruierung der Bedeutung der fraglichen Leistungselemente für die fachgerechte plankonforme Ausführung des Werkes. Vorliegend sei es der Bauherrschaft nicht möglich gewesen, nachzuvollziehen, wie die Kalkulationen aufgebaut worden seien, und es hätten damit auch jegliche Angaben darüber gefehlt, ob die fraglichen Kosten eventuell in anderen Positionen enthalten gewesen seien.</w:t>
      </w:r>
    </w:p>
    <w:p>
      <w:r>
        <w:rPr>
          <w:b/>
        </w:rPr>
        <w:t>E. 3.2</w:t>
      </w:r>
    </w:p>
    <w:p>
      <w:r>
        <w:t>Die von der Vergabebehörde mit Schreiben vom 31. Januar 2003 einverlangte "Preisanalyse" (vgl. Urteil 2P.151/1999 vom 30. Mai 2000, E. 3a und 3b) entspricht dem in anderen Kantonen mit "Erläuterung" bezeichneten Vorgang (vgl. dazu die Zusammenstellung in: Galli/Moser/Lang, Praxis des öffentlichen Beschaffungsrechts, Zürich/Basel/Genf 2003 N. 339 ff.). Das Vorgehen der Behörde stützte sich namentlich auf Art. 36 Abs. 1 und Art. 34 Abs. 1 der inzwischen aufgehobenen Verordnung vom 26. Juni 1998 über das öffentliche Beschaffungswesen, VöB (vgl. auch Art. 20 der Verordnung vom 11. Juni 2003 über das öffentliche Beschaffungswesen, in Kraft seit 1. Juni 2003), welche, soweit hier interessierend, wie folgt lauteten: Art. 36 Abs. 1 VöB : Der Auftraggeber kann von den Anbietern schriftliche Erläuterungen bezüglich ihrer Eignung und ihres Angebotes verlangen. Art. 34 Abs. 1 VöB : Ein Anbieter wird vom Zuschlagsverfahren insbesondere ausgeschlossen, wenn er: a) die geforderten Eignungskriterien nicht oder nicht mehr erfüllt. b) (....) - i) (...).</w:t>
      </w:r>
    </w:p>
    <w:p>
      <w:r>
        <w:rPr>
          <w:b/>
        </w:rPr>
        <w:t>E. 3.3</w:t>
      </w:r>
    </w:p>
    <w:p>
      <w:r>
        <w:t>Der beanstandete Ausschluss vom Vergabeverfahren ist vorliegend ausschliesslich unter dem Gesichtswinkel des Willkürverbotes und der Rechtsgleichheit zu beurteilen. Aufgrund der Ausführungen im angefochtenen Urteil und der Stellungnahme des Departements (vgl. E. 3.1) kann der Ausschluss des Angebots der Beschwerdeführer nicht als unhaltbar bezeichnet werden. Auch wenn der Offerent seine Preise selber frei kalkulieren darf, kann die Vergabebehörde, um sich über die mutmassliche Qualität und über die Plankonformität der offerierten Leistung ein besseres Bild zu machen, vom Anbieter aufgrund einer willkürfreien Auslegung und Anwendung von Art. 36 Abs. 1 VöB doch verlangen, dass er seine Kalkulation näher begründet. Die Beschwerdeführer haben eine entsprechende Erläuterung verweigert, was ohne Willkür als Grund zum Ausschluss vom Vergabeverfahren eingestuft werden durfte. Der Standpunkt des Verwaltungsgerichts, vorliegend hätten wichtige Angaben zur Eignung des Angebots gefehlt, weshalb die Vergabebehörde den renitenten Anbieter habe ausschliessen dürfen, auch wenn das anwendbare Beschaffungsrecht dies nicht ausdrücklich vorsehe, erscheint vertretbar: Art. 34 Abs. 1 VöB regelt die Ausschlussgründe nicht abschliessend ("Ein Anbieter wird [...] insbesondere ausgeschlossen, wenn er [...]"), ferner sind Mängel, die eine seriöse sachliche Beurteilung des Angebots ausschliessen, zum Vornherein nicht zu akzeptieren (Galli/Moser/Lang, a.a.O. N. 248). Auch der Einwand, die - schliesslich berücksichtigte - ARGE 2 sei besser behandelt worden, indem sie zweimal Gelegenheit erhalten habe, ihr Angebot zu erläutern, erscheint nicht stichhaltig: Die ARGE 2 hatte (im Gegensatz zur ARGE 1) auf ergangene Aufforderung hin ergänzende Angaben gemacht. Diese reichten zwar noch nicht aus, was es rechtfertigte, von ihr weitere Auskünfte zu verlangen, die alsdann aber zeigten, in welchen Positionen die erforderlichen Reserven für die zu tief kalkulierten Einheitspreise enthalten waren (vgl. Schreiben der ARGE 2 vom 30. Oktober und 8. November 2002). Von einer Verletzung des Rechtsgleichheitsgebots kann unter diesen Umständen nicht die Rede sein.</w:t>
      </w:r>
    </w:p>
    <w:p>
      <w:r>
        <w:rPr>
          <w:b/>
        </w:rPr>
        <w:t>E. 4</w:t>
      </w:r>
    </w:p>
    <w:p>
      <w:r>
        <w:t>Die staatsrechtliche Beschwerde erweist sich nach dem Gesagten als unbegründet. Sie ist abzuweisen, soweit darauf einzutreten ist. Dem Ausgang des Verfahrens entsprechend werden die Beschwerdeführer kostenpflichtig (Art. 156 in Verbindung mit Art. 153 und 153a OG ). Den Beschwerdegegnerinnen, welche auf eine Beschwerdeantwort verzichtet haben, ist im vorliegenden Verfahren kein Aufwand entstanden. Sie haben daher keinen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