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2P.146/2006 vom 8. November 2006</w:t>
      </w:r>
    </w:p>
    <w:p>
      <w:r>
        <w:t>Bundesgericht, 2006-11-08, DE</w:t>
      </w:r>
    </w:p>
    <w:p>
      <w:r>
        <w:rPr>
          <w:b/>
        </w:rPr>
        <w:t xml:space="preserve">Quelle: </w:t>
      </w:r>
      <w:r>
        <w:t>https://mcp.opencaselaw.ch/entscheid/bger_2P.146_2006</w:t>
      </w:r>
    </w:p>
    <w:p>
      <w:r>
        <w:t>FR: TF 2P.146/2006 du 8 novembre 2006</w:t>
      </w:r>
    </w:p>
    <w:p>
      <w:r>
        <w:t>IT: TF 2P.146/2006 del 8 novembre 2006</w:t>
      </w:r>
    </w:p>
    <w:p>
      <w:pPr>
        <w:pStyle w:val="Heading2"/>
      </w:pPr>
      <w:r>
        <w:t>Erwägungen</w:t>
      </w:r>
    </w:p>
    <w:p>
      <w:r>
        <w:rPr>
          <w:b/>
        </w:rPr>
        <w:t>E. 1.1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w:t>
      </w:r>
    </w:p>
    <w:p>
      <w:r>
        <w:rPr>
          <w:b/>
        </w:rPr>
        <w:t>E. 1.2</w:t>
      </w:r>
    </w:p>
    <w:p>
      <w:r>
        <w:t>Die Beschwerdeführerin war am vorliegenden kantonalen Submissionsverfahren beteiligt und ist als übergangene Bewerberin zur staatsrechtlichen Beschwerde legitimiert ( Art. 88 OG ). Ist der Zuschlagsentscheid schon in Vollzug gesetzt und mit dem ausgewählten Konkurrenten - wie vorliegend aufgrund der Abweisung des Gesuches um aufschiebende Wirkung angenommen werden darf - bereits ein Vertrag abgeschlossen worden, kann nur noch die Feststellung der Rechtswidrigkeit der "angefochtenen Verfügung" verlangt werden (vgl. Art. 9 Abs. 3 des Bundesgesetzes vom 6. Oktober 1995 über den Binnenmarkt [Binnenmarktgesetz, BGBM; SR 943.02] , BGE 125 II 86 E. 5b S. 97 f.). Der Antrag in der staatsrechtlichen Beschwerde kann insoweit nur noch auf Aufhebung des angefochtenen Rechtsmittelentscheides sowie auf Feststellung der Rechtswidrigkeit der ergangenen Zuschlagsverfügung lauten (ausführlich zum Umfang des Feststellungsanspruchs BGE 130 II 258 E. 1.2 S. 261). Soweit die Beschwerdeführerin mehr verlangt (nämlich die Wiederholung des Vergabeverfahrens), kann auf ihre Begehren nicht eingetreten werden (kassatorische Natur der staatsrechtlichen Beschwerde, BGE 129 I 173 E. 1.5 mit Hinweisen).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1.4</w:t>
      </w:r>
    </w:p>
    <w:p>
      <w:r>
        <w:t>Mit staatsrechtlicher Beschwerde können grundsätzlich keine Tatsachen und Beweismittel sowie keine rechtlichen Argumente vorgebracht werden, welche nicht bereits im kantonalen Verfahren geltend gemacht wurden. Erlaubt sind jedoch solche neuen Vorbringen, zu deren Geltendmachung erst die Begründung des angefochtenen Entscheides Anlass gibt, sowie Gesichtspunkte, die sich derart aufdrängen, dass sie von der kantonalen Instanz von Amtes wegen hätten berücksichtigt werden müssen ( BGE 99 Ia 113 E. 4a ; 129 I 49 E. 3 S. 57, mit Hinweis).</w:t>
      </w:r>
    </w:p>
    <w:p>
      <w:r>
        <w:rPr>
          <w:b/>
        </w:rPr>
        <w:t>E. 2</w:t>
      </w:r>
    </w:p>
    <w:p>
      <w:r>
        <w:t>Personen und Unternehmen dürfen sich nicht als Anbieter am Verfahren beteiligen, wenn sie:</w:t>
      </w:r>
    </w:p>
    <w:p>
      <w:r>
        <w:t>... (...).</w:t>
      </w:r>
    </w:p>
    <w:p>
      <w:r>
        <w:t>b) an der Vorbereitung des Vergabeverfahrens derart mitgewirkt haben, dass sie dadurch einen wesentlichen durch den Auftraggeber nicht ausgleichbaren Wissensvorsprung erlangt haben oder die Vergabe zu ihren Gunsten beeinflussen können.</w:t>
      </w:r>
    </w:p>
    <w:p>
      <w:r>
        <w:rPr>
          <w:b/>
        </w:rPr>
        <w:t>E. 2.1</w:t>
      </w:r>
    </w:p>
    <w:p>
      <w:r>
        <w:t>Die Beschwerdeführerin beanstandet in erster Linie, dass ihr die "bestehenden Aufzeichnungen über den aktuellen Zeitaufwand für die Sammel- und Transportdienste", über welche die Firma Z.________ AG als bisherige Auftragnehmerin verfügt habe und die auch im Besitze des Abfallbewirtschaftungsverbandes Mittelbünden sein müssten, trotz dahingehendem Ersuchen nicht bekannt gegeben worden seien. Die Firma Z.________ AG habe durch dieses Detailwissen über optimale Sammelstrecken und den präzisen Zeitaufwand bei der Berechnung der Offerte einen Vorteil gehabt, der den anderen Bewerbern, welche die Kalkulation aufgrund von Schätzungen vorzunehmen hatten, nicht zugekommen sei. Durch die Zulassung dieses Vorgehens habe das Verwaltungsgericht willkürlich gegen das Gleichbehandlungsgebot verstossen. Zudem verbiete das kantonale Submissionsgesetz, dass jemand, der sich mit einer ausgeschriebenen Sache schon vorbefasst habe, am Wettbewerb teilnehmen dürfe.</w:t>
      </w:r>
    </w:p>
    <w:p>
      <w:r>
        <w:rPr>
          <w:b/>
        </w:rPr>
        <w:t>E. 2.2</w:t>
      </w:r>
    </w:p>
    <w:p>
      <w:r>
        <w:t>Ob die Beschwerdeführerin diese behauptete Unvollständigkeit der Ausschreibungsunterlagen durch sofortige gesonderte Beschwerde gegen die Ausschreibung hätte anfechten können (und müssen, vgl. Art. 25 Abs. 2 lit. a des kantonalen Submissionsgesetzes [SubG] vom 10. Februar 2004), bedarf hier keiner weiteren Prüfung, da die erwähnte Rüge ohnehin nicht durchzudringen vermag:</w:t>
      </w:r>
    </w:p>
    <w:p>
      <w:r>
        <w:rPr>
          <w:b/>
        </w:rPr>
        <w:t>E. 2.2.1</w:t>
      </w:r>
    </w:p>
    <w:p>
      <w:r>
        <w:t>Mit ihrem Hinweis auf die Nichtzulassung vorbefasster Unternehmer nimmt die Beschwerdeführerin offenbar auf Art. 12 des kantonalen Submissionsgesetzes Bezug. Diese Bestimmung lautet - soweit hier interessierend - wie folgt:</w:t>
      </w:r>
    </w:p>
    <w:p>
      <w:r>
        <w:t>Art. 12 Ausstand und Vorbefassung</w:t>
      </w:r>
    </w:p>
    <w:p>
      <w:r>
        <w:t>.. (...).</w:t>
      </w:r>
    </w:p>
    <w:p>
      <w:r>
        <w:rPr>
          <w:b/>
        </w:rPr>
        <w:t>E. 2.2.2</w:t>
      </w:r>
    </w:p>
    <w:p>
      <w:r>
        <w:t>Soweit die Verletzung dieser Vorschrift erstmals vor Bundesgericht gerügt wird, handelt es sich um ein unzulässiges neues Vorbringen (vgl. E. 1.4). Von einem willkürlichen Verstoss gegen die genannte Vorschrift kann jedenfalls nicht die Rede sein. Die Firma Z.________ AG besitzt den ihr zugeschriebenen Wissensvorsprung nicht dadurch, dass sie bei der Ausarbeitung der Ausschreibungsunterlagen oder sonstwie bei der Vorbereitung des Vergabeverfahrens beteiligt gewesen wäre, sondern aufgrund des Umstandes, dass sie schon bisher mit dem für eine neue Periode zu vergebenden Kehrichttransport- und -sammeldienst betraut war. Dieser Tatbestand wird durch Art. 12 des Submissionsgesetzes nicht erfasst (vgl. zur Frage der Vorbefassung auch Urteil 2P.164/2004 vom 25. Januar 2005, E. 3, in: ZBl 106/2005 S. 473, mit Hinweisen).</w:t>
      </w:r>
    </w:p>
    <w:p>
      <w:r>
        <w:rPr>
          <w:b/>
        </w:rPr>
        <w:t>E. 3</w:t>
      </w:r>
    </w:p>
    <w:p>
      <w:r>
        <w:t>Es kann sich einzig fragen, ob der gerügte Wissensvorsprung der berücksichtigten Bewerberin sonstwie gegen das Gebot der Gleichbehandlung der Anbieter verstösst, wie es unmittelbar aus Art. 8 BV fliesst und in Art. 1 Abs. 2 lit. b des kantonalen Submissionsgesetzes hervorgehoben wird.</w:t>
      </w:r>
    </w:p>
    <w:p>
      <w:r>
        <w:rPr>
          <w:b/>
        </w:rPr>
        <w:t>E. 3.1</w:t>
      </w:r>
    </w:p>
    <w:p>
      <w:r>
        <w:t>Dass die Firma Z.________ AG als bisher mit der Kehrichtentsorgung der Verbandsgemeinden betraute Unternehmung den für die Kalkulation der Offerte massgebenden Zeitaufwand (aufgrund ihrer eigenen Unterlagen) leichter bestimmen konnte als die anderen Bewerber, welche für die Ermittlung des Zeitaufwandes und der Fahrdistanzen auf Schätzungen angewiesen waren, steht ausser Frage.</w:t>
      </w:r>
    </w:p>
    <w:p>
      <w:r>
        <w:rPr>
          <w:b/>
        </w:rPr>
        <w:t>E. 3.2</w:t>
      </w:r>
    </w:p>
    <w:p>
      <w:r>
        <w:t>Soweit die Ausführung eines ersten Mandates einem Bewerber "spezielle objektive Kenntnisse" verschafft hat, kann es sich aus Gründen der Chancengleichheit aufdrängen, dass diese Kenntnisse vom öffentlichen Auftraggeber auch den anderen Bewerbern für die Offertstellung zugänglich gemacht werden (vgl. Urteil 2P.164/2004 vom 25. Januar 2005, E. 5.7.1, mit Hinweis auf die Rechtsprechung des Freiburger Verwaltungsgerichts).</w:t>
      </w:r>
    </w:p>
    <w:p>
      <w:r>
        <w:rPr>
          <w:b/>
        </w:rPr>
        <w:t>E. 3.3</w:t>
      </w:r>
    </w:p>
    <w:p>
      <w:r>
        <w:t>Vorliegend durften die kantonalen Instanzen jedoch zulässigerweise davon ausgehen, bei den von der Beschwerdeführerin verlangten Informationen handle es sich nicht im erwähnten Sinne um objektive Grössen. Mit welchem Zeitaufwand für die Erfüllung des Entsorgungsauftrages zu rechnen ist, hängt von der Art und Anzahl der verwendeten Fahrzeuge, von der Anzahl der eingesetzten Personen wie auch von den gewählten Fahrrouten ab, worüber jeder Bewerber im Rahmen der Vorgaben der Ausschreibung selber bestimmen konnte. Wenn die Vergabebehörde vorliegend von jedem Bewerber diesbezüglich eine selbständige Kalkulation erwartete, lässt sich dies unter dem Gesichtswinkel der Chancengleichheit nicht beanstanden. Dass in Fällen der vorliegenden Art der bisherige Leistungserbringer bei der Kalkulation der Offerte für eine neue Periode gewisse Vorteile haben kann, ist systemimmanent und vermag dessen Ausschluss vom Vergabeverfahren nicht zu rechtfertigen; es wird dadurch nicht verunmöglicht, dass neue Bewerber dank anderer Vorteile günstigere Offerten einreichen können.</w:t>
      </w:r>
    </w:p>
    <w:p>
      <w:r>
        <w:t>Die Rüge der rechtsungleichen Behandlung vermag demnach nicht durchzudringen.</w:t>
      </w:r>
    </w:p>
    <w:p>
      <w:r>
        <w:rPr>
          <w:b/>
        </w:rPr>
        <w:t>E. 4</w:t>
      </w:r>
    </w:p>
    <w:p>
      <w:r>
        <w:t>Die Beschwerdeführerin beanstandet sodann, dass nicht alle Fahrzeuge der Firma Z.________ AG ein eigenes Gewichtserfassungssystem besitzen, wie dies in den Ausschreibungsunterlagen verlangt worden sei. Das Angebot der Firma Z.________ AG hätte nach Auffassung der Beschwerdeführerin auch aus diesem Grunde ausgeschlossen werden müssen.</w:t>
      </w:r>
    </w:p>
    <w:p>
      <w:r>
        <w:t>Es ist richtig, dass nach Ziff. 6 der Allgemeinen Bestimmungen zur Ausschreibung alle eingesetzten Fahrzeuge ein solches Wägesystem haben müssten. An anderer Stelle der Ausschreibung (vgl. Anhang 4) wird jedoch nur verlangt, dass der "Fuhrpark" des Unternehmers über ein eichfähiges Gewichtserfassungssystem verfügt, um das Gewicht der Abfälle gemeindeweise und gesamthaft ermitteln zu können. Das Verwaltungsgericht durfte deshalb ohne Willkür davon ausgehen, dass der berücksichtigte Bewerber, auch wenn eines seiner Fahrzeuge kein eigenes Wägesystem besitzt, die erwähnte Bedingung im Ergebnis dennoch erfüllt.</w:t>
      </w:r>
    </w:p>
    <w:p>
      <w:r>
        <w:rPr>
          <w:b/>
        </w:rPr>
        <w:t>E. 5</w:t>
      </w:r>
    </w:p>
    <w:p>
      <w:r>
        <w:t>Die staatsrechtliche Beschwerde erweist sich nach dem Gesagten als unbegründet. Sie ist abzuweisen, soweit darauf einzutreten ist. Dem Ausgang des Verfahrens entsprechend wird die Beschwerdeführerin kostenpflichtig (Art. 156 in Verbindung mit Art. 153 und 153a OG ). Sie hat darüber hinaus den Beschwerdegegner 1 sowie die Beschwerdegegnerin 2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