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2P.139/2002 vom 18. März 2003</w:t>
      </w:r>
    </w:p>
    <w:p>
      <w:r>
        <w:t>Bundesgericht, 2003-03-18, DE</w:t>
      </w:r>
    </w:p>
    <w:p>
      <w:r>
        <w:rPr>
          <w:b/>
        </w:rPr>
        <w:t xml:space="preserve">Quelle: </w:t>
      </w:r>
      <w:r>
        <w:t>https://mcp.opencaselaw.ch/entscheid/bger_2P.139_2002</w:t>
      </w:r>
    </w:p>
    <w:p>
      <w:r>
        <w:t>FR: TF 2P.139/2002 du 18 mars 2003</w:t>
      </w:r>
    </w:p>
    <w:p>
      <w:r>
        <w:t>IT: TF 2P.139/2002 del 18 marzo 2003</w:t>
      </w:r>
    </w:p>
    <w:p>
      <w:pPr>
        <w:pStyle w:val="Heading2"/>
      </w:pPr>
      <w:r>
        <w:t>Erwägungen</w:t>
      </w:r>
    </w:p>
    <w:p>
      <w:r>
        <w:rPr>
          <w:b/>
        </w:rPr>
        <w:t>E. 1.1</w:t>
      </w:r>
    </w:p>
    <w:p>
      <w:r>
        <w:t>Angefochten ist ein kantonal letztinstanzlicher Endentscheid, der sich auf kantonales Recht stützt und gegen den auf Bundesebene nur die staatsrechtliche Beschwerde offen steht ( Art. 84 Abs. 2, Art. 86 und Art. 87 OG ). Die Beschwerdeführerin war am vorliegenden Submissionsverfahren beteiligt, weshalb sie zur staatsrechtlichen Beschwerde gegen den Vergebungsentscheid legitimiert ist (vgl. Art. 88 OG ; BGE 125 II 86 E. 4 S. 95 f. ; 125 I 406 E. 1 S. 408). Dieses Rechtsmittel steht gegen einen Zuschlagsentscheid auch dann offen, wenn mit dem ausgewählten Bewerber - wie vorliegend - bereits ein Vertrag abgeschlossen worden ist. Zwar wird die Gültigkeit dieses Vertrages durch die Gutheissung der Beschwerde eines Konkurrenten nicht berührt, doch behält der übergangene Bewerber insofern ein aktuelles und praktisches Interesse am Verfahren, als das Bundesgericht auf Grund der speziellen Regelung von Art. 9 Abs. 3 des Bundesgesetzes vom 6. Oktober 1995 über den Binnenmarkt (Binnenmarktgesetz, BGBM; SR 943.02) in diesem Falle wenigstens die Bundesrechtswidrigkeit des angefochtenen Entscheides festzustellen hat, um dem Betroffenen die allfällige Geltendmachung von Schadenersatz zu ermöglichen ( BGE 125 II 86 E. 5b S. 97 f.). Der Antrag, den angefochtenen Entscheid aufzuheben, ist nach dem Gesagten auch als Begehren um Feststellung der Bundesrechtswidrigkeit der angefochtenen Vergebung entgegenzunehmen (vgl. Urteil 2P.4/2000 vom 26. Juni 2000, E. 1c, in: ZBl 102/2001 S. 217; sowie Urteil 2P.226/2002 vom 20. Februar 2003, E.1.1).</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In konstanter Rechtsprechung zu dieser Bestimmung prüft das Bundesgericht im Verfahren der staatsrechtlichen Beschwerde nur klar und detailliert erhobene und, soweit möglich, belegte Rügen. Bei der Willkürrüge insbesondere hat der Beschwerdeführer nicht nur die Rechtsnorm zu bezeichnen, die qualifiziert unrichtig angewandt oder nicht angewandt worden sein soll; er muss zudem anhand der angefochtenen Subsumtion im Einzelnen darlegen, inwiefern der kantonale Entscheid offensichtlich unhaltbar und damit geradezu willkürlich ist. Auf ungenügend begründete Rügen und auf rein appellatorische Kritik am angefochtenen Entscheid tritt das Bundesgericht nicht ein ( BGE 125 I 492 E. 1b S. 495; 110 Ia 1 E. 2a S. 3 f.; 107 Ia 186 , je mit Hinweisen).</w:t>
      </w:r>
    </w:p>
    <w:p>
      <w:r>
        <w:rPr>
          <w:b/>
        </w:rPr>
        <w:t>E. 2</w:t>
      </w:r>
    </w:p>
    <w:p>
      <w:r>
        <w:t>Die Beschwerdeführerin rügt, das Verwaltungsgericht habe "verfehlt, die bereits vom Regierungsstatthalter unterlassene Prüfung der Beschwerde X.________ vorzunehmen". Der angefochtene Entscheid müsse deshalb wegen formeller Rechtsverweigerung aufgehoben werden. Sodann sei der X.________ AG das rechtliche Gehör verweigert worden, indem sich das Verwaltungsgericht auf das Verfahren B.________/C.________ abgestützt habe, namentlich auf das in diesem Verfahren entstandene Protokoll einer Instruktionsverhandlung, zu dem die X.________ AG nicht eingeladen worden sei und zu dem sie vor dem Regierungsstatthalter auch nicht habe Stellung nehmen können. Das Verwaltungsgericht sei zudem in willkürlicher Weise davon ausgegangen, dass die Variante "ECOPUR" zulässig gewesen sei.</w:t>
      </w:r>
    </w:p>
    <w:p>
      <w:r>
        <w:rPr>
          <w:b/>
        </w:rPr>
        <w:t>E. 3.1.1</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60 E. 5a S. 70; 125 II 129 E. 5b S. 134 ; 123 I 1 E. 4a S. 5).</w:t>
      </w:r>
    </w:p>
    <w:p>
      <w:r>
        <w:rPr>
          <w:b/>
        </w:rPr>
        <w:t>E. 3.1.2</w:t>
      </w:r>
    </w:p>
    <w:p>
      <w:r>
        <w:t>Das Verwaltungsgericht hat im Wesentlichen erwogen, in den von den Anbietern unterschriebenen Submissionsbestimmungen sei ausdrücklich darauf hingewiesen worden, dass Unternehmervarianten erwünscht seien und behandelt würden. Das abgegebene Leistungsverzeichnis für die Rohrlegearbeiten habe deshalb von Vornherein nicht so verstanden werden dürfen, dass nur ein bestimmtes Rohr (der Firma Y.________) zulässig sei. Abweichend von der Auffassung der X.________ AG ergebe sich aus den Submissionsbestimmungen sodann durchaus, dass die Gemeinde ein Einbetten und Überdecken der Rohre ausschliesslich mit Aushubmaterial (also ohne Kies) als zulässig erachtet habe. Die Umschreibungen in den Submissionsbestimmungen könnten nicht anders verstanden werden, als dass die gesamten Arbeiten auch ohne Verwendung von Kies ausgeführt werden dürften. Daran ändere der Umstand nichts, dass das den Unternehmungen abgegebene Graben-Normalprofil eine Kiesbettung vorsehe. Dieses Profil sei die Grundlage für das Hauptangebot gewesen und habe Unternehmervarianten nicht ausgeschlossen.</w:t>
      </w:r>
    </w:p>
    <w:p>
      <w:r>
        <w:rPr>
          <w:b/>
        </w:rPr>
        <w:t>E. 3.1.3</w:t>
      </w:r>
    </w:p>
    <w:p>
      <w:r>
        <w:t>Was die Beschwerdeführerin gegen diese Auffassung einwendet, ist nicht geeignet, den Vorwurf der Willkür zu begründen. Zwar trifft zu, dass bei einigen Bewerbern auf Grund der abgegebenen Submissionsbestimmungen gewisse Unklarheiten in Bezug auf allfällig einzureichende Unternehmervarianten bestanden haben. Die Annahme des Verwaltungsgerichts, die von vier Anbietern offerierte "ECOPUR"-Variante habe zulässigerweise berücksichtigt werden dürfen, erscheint aber nicht unhaltbar. Aus der Bestimmung "Unternehmervarianten sind erwünscht und werden behandelt" ergibt sich, dass die Offerenten ausdrücklich aufgefordert bzw. eingeladen waren, neben ihrem Hauptangebot Projekt- und/oder Ausführungsvarianten (vgl. hierzu Roland Hürlimann, Unternehmervarianten - Risiken und Problembereiche, in: BR 1/96 S. 4, insbesondere Ziff. III/2b) einzureichen, was im Übrigen auch die Beschwerdeführerin selber tat (vgl. vorne "B.-"). Die Auslegung des Verwaltungsgerichts, wonach nach dem Wortlaut der Submissionsbestimmungen (vgl. vorne "A.-") bei den Varianten ganz auf die Verwendung von Kies verzichtet werden dürfe, erscheint in diesem Zusammenhang nicht unhaltbar, selbst wenn, wie die Beschwerdeführerin darlegt, auch eine andere Auslegung des Textes "Einbetten und Überdecken der Rohre mit Aushubmaterial resp. Kies" denkbar wäre (S. 23 der Beschwerdeschrift). Dies reicht aber nicht aus, die Auffassung des Verwaltungsgerichts als geradezu willkürlich erscheinen zu lassen (E. 3.1.1).</w:t>
      </w:r>
    </w:p>
    <w:p>
      <w:r>
        <w:t>Nach dem Gesagten durfte das Verwaltungsgericht die offerierten "ECOPUR"-Varianten als zulässige Unternehmervarianten erachten, ohne dabei in Willkür zu verfallen.</w:t>
      </w:r>
    </w:p>
    <w:p>
      <w:r>
        <w:rPr>
          <w:b/>
        </w:rPr>
        <w:t>E. 3.2</w:t>
      </w:r>
    </w:p>
    <w:p>
      <w:r>
        <w:t>Damit ist auch den Rügen, es liege eine formelle Rechtsverweigerung bzw. eine Verletzung des Anspruchs auf rechtliches Gehör vor, die Grundlage entzogen. Die Beschwerdeführerin bestreitet selber nicht, dass die Variante "ECOPUR" insgesamt günstiger ist als die von ihr offerierten Arbeiten (vgl. Ziff. 6 der kantonalen Verwaltungsgerichtsbeschwerde, in Verbindung mit E. 2e des angefochtenen Entscheides). Wenn es aber von Vornherein klar und unbestritten war, dass sich die von anderen Offerenten gültig angebotene "ECOPUR"-Variante wirtschaftlich günstiger präsentierte als das Angebot der Beschwerdeführerin, durfte das Verwaltungsgericht ohne Verfassungsverletzung darauf verzichten, sich mit den Vorbringen der X.________ AG weiter auseinander zu setzen, zumal ein Zuschlag an diese Firma gar nicht in Frage kam (vgl. Art. 40 Abs. 1 der bernischen Submissionsverordnung vom 29. April 1998, wonach das "wirtschaftlich günstigste Angebot" den Zuschlag erhält). Das Verwaltungsgericht konnte sich unter diesen Umständen vielmehr darauf beschränken, den erstinstanzlichen Vergabeentscheid der Gemeinde Belpberg wiederherzustellen, ohne über irrelevante Fragen zusätzliche Beweise erheben bzw. weitere Verhandlungen durchführen zu müssen.</w:t>
      </w:r>
    </w:p>
    <w:p>
      <w:r>
        <w:rPr>
          <w:b/>
        </w:rPr>
        <w:t>E. 4.1</w:t>
      </w:r>
    </w:p>
    <w:p>
      <w:r>
        <w:t>Die Beschwerdeführerin rügt, das Verwaltungsgericht habe ihren Anspruch auf Beurteilung durch eine unabhängige Behörde verletzt ( Art. 29 BV ). Sie macht geltend, am erstinstanzlichen Vergabeentscheid habe ein Gemeinderat mitgewirkt, der für die Lieferantin der "ECOPUR"-Rohre (Z.________ AG) arbeite. Der betreffende Gemeinderat habe deshalb als "Diener zweier Herren" gehandelt und die Möglichkeit gehabt, das Vergabeverfahren entsprechend zu beeinflussen. Damit sei der Anspruch auf ein faires Verfahren verletzt.</w:t>
      </w:r>
    </w:p>
    <w:p>
      <w:r>
        <w:rPr>
          <w:b/>
        </w:rPr>
        <w:t>E. 4.2</w:t>
      </w:r>
    </w:p>
    <w:p>
      <w:r>
        <w:t>Vorliegend geht es um die Ausstandspflicht von Angehörigen eines Exekutivorgans; die aus Art. 6 EMRK und Art. 30 Abs. 1 BV ableitbaren Ansprüche auf ein unparteiliches Gericht sind daher nicht anwendbar. Wann Mitglieder einer Verwaltungsbehörde in den Ausstand zu treten haben, ergibt sich einerseits aus dem anwendbaren kantonalen Verfahrensrecht und andererseits aus den aus Art. 4 aBV hergeleiteten bzw. neu aus Art. 29 Abs. 1 BV herleitbaren Grundsätzen ( BGE 125 I 119 E. 3; Urteil 2P.231/1997 vom 19. Mai 1998, in: ZBl 100/1999 S. 74 ff., E. 2b).</w:t>
      </w:r>
    </w:p>
    <w:p>
      <w:r>
        <w:rPr>
          <w:b/>
        </w:rPr>
        <w:t>E. 4.3</w:t>
      </w:r>
    </w:p>
    <w:p>
      <w:r>
        <w:t>Gemäss Art. 47 Abs. 1 des bernischen Gemeindegesetzes vom 16. März 1998 ist nur zum Ausstand verpflichtet, wer "an einem Geschäft unmittelbar persönliche Interessen hat". Art. 29 BV und Art. 68 Abs. 4 der bernischen Kantonsverfassung haben keine weiter gehende Tragweite: Für Mitglieder politischer Behörden (Kantonsregierungen, Gemeindeexekutiven) besteht unmittelbar von Verfassungs wegen in der Regel nur dann eine Ausstandspflicht, wenn sie am betreffenden Geschäft ein persönliches Interesse haben ( BGE 107 I 135 E. 2b S.137 ; 125 I 119 E. 3b-e S. 123 ff.; Walter Kälin/Urs Bolz, Handbuch des bernischen Verfassungsrechts, Ziff. 14 zu Art. 68 KV/BE und Ulrich Zimmerli/Regina Kiener, daselbst, Teil I/Justizverfassung, S. 189).</w:t>
      </w:r>
    </w:p>
    <w:p>
      <w:r>
        <w:rPr>
          <w:b/>
        </w:rPr>
        <w:t>E. 4.4</w:t>
      </w:r>
    </w:p>
    <w:p>
      <w:r>
        <w:t>Das Verwaltungsgericht hat erwogen, das fragliche Gemeinderatsmitglied von Belpberg habe zweifellos kein unmittelbares persönliches Interesse am Vergabeentscheid gehabt. Der betreffende Gemeinderat arbeite in der Abteilung "Profi-Markt" für Abholkunden und habe keinen Einfluss auf die Abteilung "Sanitär", welche die Offerten für Rohre ausarbeite. Hinzu komme, dass die Z.________ AG selbst nicht zu den Anbietern gehöre, sondern allenfalls im Zwischenhandel die Rohre liefern könne (E. 3b des angefochtenen Entscheides).</w:t>
      </w:r>
    </w:p>
    <w:p>
      <w:r>
        <w:t>Die Beschwerdeführerin trägt vor, die Tätigkeit des Gemeinderates in einer anderen Abteilung der Z.________ AG genüge nicht, um die nötige Unabhängigkeit zu schaffen; die Anstellung in einem sachlich und organisatorisch getrennten Bereich ändere die Interessenlage nicht.</w:t>
      </w:r>
    </w:p>
    <w:p>
      <w:r>
        <w:t>Dieser Einwand dringt nicht durch. Die Beschwerdeführerin tut insbesondere nicht dar ( Art. 90 Abs. 1 lit. b OG , E. 1.2), inwiefern der betreffende Gemeinderat am Vergabeentscheid ein unmittelbares persönliches Interesse gehabt hätte (beispielsweise als Mehrheitsaktionär oder hohes Kadermitglied der fraglichen Materiallieferantin).</w:t>
      </w:r>
    </w:p>
    <w:p>
      <w:r>
        <w:rPr>
          <w:b/>
        </w:rPr>
        <w:t>E. 5</w:t>
      </w:r>
    </w:p>
    <w:p>
      <w:r>
        <w:t>Die staatsrechtliche Beschwerde erweist sich nach dem Gesagten als unbegründet, soweit darauf einzutreten ist. Dem Ausgang des Verfahrens entsprechend wird die Beschwerdeführerin kostenpflichtig (Art. 156 in Verbindung mit Art. 153 und 153a OG ). Weiter hat sie die Einwohnergemeinde Belpberg, welche als kleine bzw. mittlere Gemeinde im vorliegenden Verfahren auf eine qualifizierte Verbeiständung angewiesen war (vgl. BGE 125 I 182 E. 7 S. 202, mit Hinweisen), angemessen zu entschädigen ( Art. 159 OG ).</w:t>
      </w:r>
    </w:p>
    <w:p>
      <w:r>
        <w:t>Den Beschwerdegegnern ist im vorliegenden Verfahren kein Aufwand entstanden. Sie haben keinen Anspruch auf Parteikostenersatz.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