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2P.131/2001 vom 13. November 2001</w:t>
      </w:r>
    </w:p>
    <w:p>
      <w:r>
        <w:t>Bundesgericht, 2001-11-13, DE</w:t>
      </w:r>
    </w:p>
    <w:p>
      <w:r>
        <w:rPr>
          <w:b/>
        </w:rPr>
        <w:t xml:space="preserve">Quelle: </w:t>
      </w:r>
      <w:r>
        <w:t>https://mcp.opencaselaw.ch/entscheid/bger_2P.131_2001</w:t>
      </w:r>
    </w:p>
    <w:p>
      <w:r>
        <w:t>FR: TF 2P.131/2001 du 13 novembre 2001</w:t>
      </w:r>
    </w:p>
    <w:p>
      <w:r>
        <w:t>IT: TF 2P.131/2001 del 13 novembre 2001</w:t>
      </w:r>
    </w:p>
    <w:p>
      <w:pPr>
        <w:pStyle w:val="Heading2"/>
      </w:pPr>
      <w:r>
        <w:t>Regeste</w:t>
      </w:r>
    </w:p>
    <w:p>
      <w:r>
        <w:t>Grundrecht</w:t>
      </w:r>
    </w:p>
    <w:p>
      <w:pPr>
        <w:pStyle w:val="Heading2"/>
      </w:pPr>
      <w:r>
        <w:t>Erwägungen</w:t>
      </w:r>
    </w:p>
    <w:p>
      <w:r>
        <w:rPr>
          <w:b/>
        </w:rPr>
        <w:t>E. 1</w:t>
      </w:r>
    </w:p>
    <w:p>
      <w:r>
        <w:t>a) Der angefochtene Entscheid des Verwaltungsgerichts stellt einen letztinstanzlichen kantonalen Entscheid dar, gegen den im Bund kein anderes Rechtsmittel als die staatsrechtliche Beschwerde zur Verfügung steht ( Art. 84 Abs. 2 sowie Art. 86 Abs. 1 OG ). Ausgeschlossen ist insbesondere die Verwaltungsgerichtsbeschwerde: Die vorliegende Streitsache beschlägt nicht den (bundesrechtlichen) Bewilligungsentscheid für eine Strassenreklame im Sinne von Art. 6 SVG (SR 741. 01) sowie Art. 95 ff. der Signalisationsverordnung vom 5. September 1979 (SSV; SR 741. 21) , gegen welchen dieses Rechtsmittel grundsätzlich offen stünde (Urteile des Bundesgerichts 2A.360/1994 vom 12. Februar 1996, E. 1, 1P.402/1999 vom 7. Dezember 1999, E. 1, 1P.783/1999 vom 24. Februar 2000, E. 1 sowie 2A.249/2000 vom 14. Februar 2001, E. 1a); eine solche Bewilligung, welche (lediglich) der Beurteilung der Beeinträchtigung der Verkehrssicherheit dient (vgl. Art. 96 SSV ), wurde vorliegend bereits am 12. November 1999 durch das (gemäss Art. 4 der kantonalen Verordnung vom 5. Mai 1980 über die Strassenreklamen hiefür zuständige) Tiefbauamt des Kantons Graubünden rechtskräftig erteilt. Die hier streitige Anordnung stützt sich dagegen auf selbständiges kantonales (bzw. kommunales) Recht, weshalb die Verwaltungsgerichtsbeschwerde unzulässig ist. b) Beim angefochtenen Entscheid handelt es sich um einen Zwischenentscheid, schliesst er doch, indem er die Streitsache "zur Erteilung der Baubewilligung im Sinne der Erwägungen" an die Gemeinde zurückweist, das kantonale Verfahren nicht ab. Gegen Zwischenentscheide der vorliegenden Art ist die staatsrechtliche Beschwerde (nur) dann zulässig, wenn sie einen nicht wieder gutzumachenden Nachteil bewirken können ( Art. 87 Abs. 2 OG , in der seit 1. März 2000 gültigen Fassung). Ein solcher liegt nach der bundesgerichtlichen Rechtsprechung (u.a.) dann vor, wenn eine Gemeinde - wie hier - durch einen Rückweisungsentscheid gezwungen wird, entgegen ihrer Auffassung eine neue Anordnung zu erlassen; ihr ist nicht zuzumuten, einer von ihr als falsch erachteten Weisung Folge zu leisten, um alsdann ihren eigenen Entscheid anzufechten ( BGE 116 Ia 41 E. 1b S. 44, 221 E. 1d/aa S. 225; Urteil des Bundesgerichts 2P.325/1995 vom 17. Januar 1996, in: SJ 1996 S. 496 f., E. 1b; unveröffentlichte E. 1a von BGE 126 I 133 ). Damit ist diese Eintretensvoraussetzung erfüllt. c) Eine Gemeinde ist zur Erhebung einer staatsrechtlichen Beschwerde wegen Verletzung ihrer Autonomie ( Art. 189 Abs. 1 lit. b BV ) befugt, wenn sie durch den angefochtenen Entscheid in ihrer Eigenschaft als Trägerin hoheitlicher Gewalt berührt wird. Ob ihr im betreffenden Bereich tatsächlich Autonomie zusteht, ist nicht eine Frage des Eintretens, sondern bildet Gegenstand der materiellrechtlichen Beurteilung ( BGE 124 I 223 E. 1b S. 226; 120 Ia 203 E. 2a S. 204, je mit Hinweis). Im vorliegenden Fall wird die Beschwerdeführerin durch den angefochtenen Entscheid angehalten, die streitige Plakatstelle zu bewilligen und (im Sinne der verwaltungsgerichtlichen Erwägungen) das von ihr bisher wahrgenommene Gemeindemonopol für den Plakatanschlag auf privatem Grund aufzugeben bzw. auf das Verbot von Fremdreklame zu verzichten. Sie wird insoweit in ihrer Eigenschaft als Trägerin hoheitlicher Gewalt betroffen und ist daher zur staatsrechtlichen Beschwerde wegen Verletzung ihrer Autonomie legitimiert. Auf die frist- und formgerecht erhobene staatsrechtliche Beschwerde ist mithin einzutreten.</w:t>
      </w:r>
    </w:p>
    <w:p>
      <w:r>
        <w:rPr>
          <w:b/>
        </w:rPr>
        <w:t>E. 2</w:t>
      </w:r>
    </w:p>
    <w:p>
      <w:r>
        <w:t>Aufl. , Bern 1997, S. 75, Fn. 84; Häfelin/Haller, a.a.O., N. 721; Ulrich Häfelin/Georg Müller, Grundriss des Allgemeinen Verwaltungsrechts, 3. Aufl. , Zürich 1998, Rz. 1947; Jörg Paul Müller, Grundrechte in der Schweiz,</w:t>
      </w:r>
    </w:p>
    <w:p>
      <w:r>
        <w:rPr>
          <w:b/>
        </w:rPr>
        <w:t>E. 3</w:t>
      </w:r>
    </w:p>
    <w:p>
      <w:r>
        <w:t>Aufl. , Bern 1994, S. 75 f.). Zu prüfen ist, ob auf die Rechtsprechung in BGE 100 Ia 445 zur Zulässigkeit von Plakatmonopolen, soweit sie sich auf privaten Grund beziehen, zurückzukommen ist. e) aa) Die gesetzliche Grundlage für das vorliegend streitige Plakatmonopol findet sich in Art. 51 des dem obligatorischen Referendum unterstehenden Ortspolizeigesetzes der Gemeinde Arosa. Diese Bestimmung ist hinreichend klar und bringt insbesondere deutlich zum Ausdruck, dass sich das fragliche Gemeindemonopol auch auf den privaten Grund erstreckt. Damit liegt eine genügende gesetzliche Grundlage im Sinne der Rechtsprechung (vgl. das erwähnte Urteil des Bundesgerichts in: ZBl 89/1988 S. 326 ff.) für den fraglichen Eingriff in die Wirtschaftsfreiheit vor. Die unter diesem Titel vorgebrachten Einwände seitens der Beschwerdegegnerinnen sind weder nachvollziehbar noch stichhaltig. bb) Für ein Plakatmonopol liegt - auch soweit sich dieses auf privaten Grund bezieht - ein öffentliches Interesse vor. Eine Normierung des Plakatanschlags drängt sich zunächst aus Gründen der Verkehrssicherheit auf, wobei es auch den reibungslosen widmungskonformen Gebrauch des öffentlichen Grundes im Allgemeinen zu gewährleisten gilt. Sodann bedarf es entsprechender Vorschriften zum Schutz des Landschafts-, Orts- und Strassenbildes (vgl. BGE 100 Ia 445 E. 5b S. 450 ; 60 I 268 E. 2a S. 271); Rechnung zu tragen ist dabei dem Erscheinungsbild einer Ortschaft als Ganzes, der Ästhetik einzelner Strassenzüge und Plätze, wie auch der Würde von historischen Stätten und Amtsgebäuden sowie der Einzigartigkeit von Natur- und Kunstdenkmälern. Für die Verwirklichung dieser Anliegen ist die Erfassung sämtlicher vom öffentlichen Raum aus wahrnehmbarer Plakat- und Reklameeinrichtungen grundsätzlich unerlässlich - unabhängig davon, ob diese sich auf öffentlichem oder auf privatem Grund befinden. Dass mit dem vorliegenden Plakatmonopol, soweit es sich auf privaten Grund bezieht, rein fiskalische Interessen verfolgt würden, kann schon angesichts der relativ geringen Einnahmen von Fr. 12'000.-- bis 13'000.--, welche die Gemeinde aus dem Vertrag mit der Konzessionärin jährlich erzielt, ausgeschlossen werden. Im Übrigen dürften diese Betreffnisse zur Hauptsache ohnehin auf Entschädigungen für Plakatierungen auf öffentlichem Grund zurückgehen. cc) Fraglich ist, ob das Plakatmonopol, soweit esdie privaten Grundstücke miterfasst, das Verhältnismässigkeitsprinzip beachtet. Allgemein wird unter diesem Gesichtspunkt verlangt, dass die vom Gesetzgeber gewählte Massnahme zur Verwirklichung des im öffentlichen Interessen liegenden Ziels geeignet und notwendig ist. Ausserdem muss der angestrebte Zweck in einem vernünftigen Verhältnis zu den eingesetzten Mitteln bzw. den zu seiner Erreichung notwendigen Freiheitsbeschränkungen stehen ( BGE 126 I 112 E. 5b S. 119 f. ; 125 I 209 E. 10d/aa S. 223, je mit Hinweisen). Die Eignung des vorliegend streitigen Monopols steht ausser Frage; indem sich die Gemeinde das Recht zum Plakatanschlag auf ihrem gesamten Gebiet vorbehält bzw. unter restriktiven Auflagen auf eine einzelne Konzessionärin überträgt, kann sie bestmöglich über die Wahrung der in Frage stehenden öffentlichen Interessen wachen. Die Notwendigkeit der Reglementierung ergibt sich dabei einerseits aus verkehrspolizeilichen und andererseits aus landschafts- und ortsbildschützerischen bzw. ästhetischen Gründen (oben E. 3e/bb). Die verkehrspolizeilichen Schranken finden sich - wie erwähnt (oben E. 1a) - in Art. 95 ff. SSV , welche durch Weisungen der eidgenössischen Behörden zum Teil noch näher ausgeführt werden; aus diesem Grund ist das Anbringen und Ändern von Strassenreklamen von Bundesrechts wegen bewilligungspflichtig ( Art. 100 Abs. 1 SSV ). Darüber hinaus obliegt es dem kantonalen oder kommunalen Recht, zusätzliche Schranken aus landschafts- und ortsbildschützerischen Gründen zu statuieren (vgl. Art. 100 Abs. 2 SSV ; Manfred Küng, Strassenreklamen im Verkehrs- und Baurecht, Diss. Zürich 1990, S. 40). Das Anbringen von Plakatstellen oder festen Reklametafeln bedarf daher regelmässig einer kommunalen (Plakat-)Bewilligung, einer Art Baubewilligung, soweit Plakatstellen nicht ohnehin baubewilligungspflichtige Anlagen im Sinne von Art. 22 Abs. 1 RPG bzw. der kantonalen Baugesetzgebung darstellen (vgl. Küng, a.a.O., S. 139 ff.). Die Gemeinde kann, im Rahmen der ihr nach kantonalem Recht zustehenden Kompetenzen, das Anbringen von Reklamen und Plakaten nach Art und Grösse normieren bzw. für bestimmte Zonen oder Gebäude überhaupt untersagen. Soweit es um die Zurverfügungstellung des öffentlichen Grundes geht, kann die Gemeinde ihre diesbezüglichen Forderungen schon aufgrund ihrer direkten Herrschaftsgewalt über dieses Areal durchsetzen und einer allfälligen Konzessionärin bzw. den zugelassenen Plakatunternehmen die ihr gut scheinenden Auflagen ohne besondere gesetzliche Grundlage aufzwingen. Sie ist aber zur Durchsetzung ihrer ästhetischen Anliegen auf ein den privaten Grund mitumfassendes allgemeines Monopol nicht angewiesen, wiewohl eine solche Regelung die Erreichung der angestrebten Sachziele wie auch die administrativen Abläufe erleichtern mag. Eine Bewilligungspflicht für Reklamen auf privatem Grund, verbunden mit entsprechenden Sachnormen, genügt. Dabei ist es der Gemeinde nicht verwehrt, die Modalitäten der Plakatierung im Rahmen eines ihr ganzes Gebiet erfassenden Gesamtkonzepts zu regeln (vgl. das Urteil des Bundesgerichts 1P.581/1998 vom 1. Februar 1999, in: RDAF 2000 1 S. 288 ff., E. 3b/c, bzw. in deutscher Übersetzung in: Pra 1999 Nr. 127 S. 686 ff.). Zu unterscheiden ist zwischen Plakatstellen, an denen periodisch neue Plakate angebracht werden, die als solche jeweils keiner speziellen Bewilligung mehr bedürfen, und sonstigen fest angebrachten Reklamen. Für die Benutzung von Plakatstellen wird der private Grundeigentümer praktisch mit einer - von ihm ausgewählten - spezialisierten Plakatfirma kontrahieren müssen, welche ihrerseits nach Bedarf die Plakate ihrer Kunden anbringt und die einschlägigen Vorschriften kennt. Eine dahingehende Forderung wird die Gemeinde unabhängig vom Bestand eines Monopols stellen dürfen, indem sie etwa verlangt, dass das Gesuch zum Anbringen der Plakatstelle von einer spezialisierten bzw. qualifizierten Firma gestellt wird, welche gleichzeitig mit oder anstelle des Grundeigentümers als Bewilligungsnehmerin ins Recht gefasst wird. Sodann kann sich die Gemeinde bei Plakatstellen auf privatem Grund auch eine Interventionsbefugnis vorbehalten, um gegen polizeiwidrige Anschläge einschreiten zu können oder um beispielsweise eine gewisse Ordnung bei Wahlkampagnen (Sicherstellung der Gleichbehandlung der Kandidaten) zu wahren (vgl. das Urteil des Bundesgerichts 1P.315/1998 vom 7. Dezember 1998, in deutscher Übersetzung in: Pra 1999 Nr. 86 S. 479 ff.). Die für ein Monopolregime sprechenden sachlichen Gründe erscheinen zwar nach wie vor als durchaus ausreichend, um das (faktische) Plakatmonopol für Reklamen auf öffentlichem Grund zu rechtfertigen ( BGE 125 I 209 E. 10c und d S. 222 ff.). Sie besitzen - entgegen BGE 100 Ia 445 E. 5c S. 451 ff. - aber nicht das erforderliche Gewicht, um dieses Regime - als rechtliches Monopol - auf private Grundstücke ausdehnen zu können. Da sich die verfolgten öffentlichen Anliegen nach dem Gesagten auch auf andere Weise hinreichend wahren lassen, erscheint der mit einer solchen Regelung verbundene Eingriff in die Wirtschaftsfreiheit der an der Ausnützung möglicher Plakatstellen interessierten Grundeigentümer einerseits sowie der als deren allfällige Vertragspartner ausgeschlossenen konkurrierenden Plakatfirmen andererseits als unverhältnismässig. Dem kantonalen Verwaltungsgericht lässt sich insofern keine falsche Handhabung des Grundrechts der Wirtschaftsfreiheit vorwerfen, und die staatsrechtliche Beschwerde erweist sich in diesem Punkt als unbegründet. f) Hält das vorliegend streitige Plakatmonopol, soweit es sich auf privaten Grund bezieht, nach dem Gesagten bereits vor der Wirtschaftsfreiheit nicht stand, so erübrigt sich die weitere Prüfung der Vereinbarkeit mit der Eigentumsgarantie ( Art. 26 BV ).</w:t>
      </w:r>
    </w:p>
    <w:p>
      <w:r>
        <w:rPr>
          <w:b/>
        </w:rPr>
        <w:t>E. 4</w:t>
      </w:r>
    </w:p>
    <w:p>
      <w:r>
        <w:t>a) Die Beschwerdeführerin macht geltend, das Verwaltungsgericht habe das Verbot von Fremdreklamen zu Unrecht als unzulässig erkannt. b) Im angefochtenen Entscheid war das Gericht zum Schluss gekommen, die Unterscheidung zwischen Fremd- und Eigenreklame bilde offensichtlich kein taugliches Kriterium, um zwischen die Verkehrssicherheit gefährdenden bzw. das Ortsbild beeinträchtigenden Reklamen und solchen, die diese Polizeigüter nicht verletzten, zu differenzieren, weshalb das von der Gemeinde statuierte Fremdreklameverbot gegen den Grundsatz der Rechtsgleichheit verstosse. Diese Argumentation ist nicht stichhaltig. Das Bedürfnis nach Eigenreklame (auf der eigenen Betriebsliegenschaft) hat einen höheren Stellenwert als das blosse Interesse, sein Grundstück gegen Entgelt für Fremdreklame zur Verfügung stellen zu können. Es ist insoweit nicht unzulässig, wenn eine Gemeinde, um die Zahl der Reklamen aus ästhetischen Gründen in Grenzen zu halten, Fremdreklamen in schützenswerten Gebieten und Ortsteilen generell verbietet und nur Eigenreklamen in einem bestimmten Rahmen zulässt; lediglich ein undifferenziertes und ausnahmsloses Verbot von Fremdreklamen auf privatem Grund kann sich als unverhältnismässiger Eingriff in die Wirtschaftsfreiheit und die Eigentumsgarantie erweisen (Urteil des Bundesgerichts P.593/1985 vom 25. Februar 1987, E. 4, bestätigt im Urteil 1P.122/1998 vom 12. Mai 1998, in: ZBl 101/2000 S. 135 ff., E. 4b). Die Frage bedarf vorliegend aber keiner weiteren Prüfung. Wenn die Gemeinde Arosa einerseits für alle Privatliegenschaften ein Fremdreklameverbot statuiert und andererseits ihrer Konzessionärin für Plakatstellen (auf öffentlichem und privatem Grund) eine generelle Ausnahme von diesem Verbot zugesteht, erscheint dieses Verbot vorab als Mittel zur Durchsetzung des streitigen Plakatmonopols und entbehrt einer selbständigen sachlichen Begründung. Die Gemeinde wird nach dem partiellen Hinfall des Plakatmonopols ihre einschlägigen Ausführungsregelungen überprüfen müssen.</w:t>
      </w:r>
    </w:p>
    <w:p>
      <w:r>
        <w:rPr>
          <w:b/>
        </w:rPr>
        <w:t>E. 5</w:t>
      </w:r>
    </w:p>
    <w:p>
      <w:r>
        <w:t>a) In seinem Urteil hat das Verwaltungsgericht die Beschwerdeführerin angewiesen, "die Baubewilligung im Sinne der Erwägungen zu erteilen". Die Beschwerdeführerin bringt dagegen im Wesentlichen vor, sie habe das Plakatgesuch einzig unter Hinweis auf das kommunale Monopol sowie den Exklusivvertrag mit der Allgemeinen Plakatgesellschaft abgelehnt, ohne die Bewilligungsvoraussetzungen im Weiteren materiell geprüft zu haben. Indem sich das Verwaltungsgericht damit begnüge, die Plakatwand als mit den "Vorschriften über das Ortsbild" vereinbar zu erklären, um alsdann die Gemeinde zur Bewilligungserteilung anzuhalten, verweigere es ihr das rechtliche Gehör, stelle es den Sachverhalt offensichtlich unrichtig fest und verletze es willkürlich kommunale Vorschriften. b) In den Erwägungen des angefochtenen Entscheids werden das geltend gemachte Monopol und das damit verknüpfte Fremdreklameverbot - nach dem Gesagten - zu Recht als unzulässige Hindernisse bezeichnet, allfällige anderweitige baupolizeiliche Schranken dagegen ausdrücklich vorbehalten. Allerdings hat das Verwaltungsgericht die von der Beschwerdeführerin im Rekursverfahren vorgebrachten ästhetischen Einwände unter Hinweis auf die von der Allgemeinen Plakatgesellschaft betriebenen Plakatstellen als unbeachtlich bezeichnet. Richtigerweise muss in diesem Punkt die Autonomie der Gemeinde respektiert werden: Es ist vorab Sache der Gemeindebehörden, die Zulässigkeit der streitigen neuen Plakatstelle in ortsbildschützerischer bzw. ästhetischer Sicht zu beurteilen, wobei sie selbstverständlich einen rechtsgleichen Massstab anzuwenden hat. Sie hat es im Übrigen - wie erwähnt - in der Hand, das Anbringen von Reklamen und Plakaten mit den ihr zur Verfügung stehenden bau- und planungsrechtlichen, aber auch gewerbepolizeilichen Mitteln den gebotenen ortsbildschützerischen und ästhetischen Schranken - beispielsweise in Form eines Plakatkonzepts (vgl. E. 3e/cc) - zu unterwerfen, denen sich auch die privaten Grundeigentümer zu unterziehen haben. Ob die von der Gemeinde gegebenenfalls zu erteilende kommunale Bewilligung, wie im angefochtenen Urteil angenommen, als Baubewilligung oder aber, wie von der Beschwerdeführerin geltend gemacht, als gewerbepolizeiliche Bewilligung zu bezeichnen ist, ist im vorliegenden Zusammenhang ohne Belang. Es ist Sache der Gemeinde, diese Fragen bei der Neubeurteilung des Gesuches zu klären und die massgebenden Vorschriften zur Anwendung zu bringen.</w:t>
      </w:r>
    </w:p>
    <w:p>
      <w:r>
        <w:rPr>
          <w:b/>
        </w:rPr>
        <w:t>E. 6</w:t>
      </w:r>
    </w:p>
    <w:p>
      <w:r>
        <w:t>Damit ist die staatsrechtliche Beschwerde im Sinne der Erwägungen abzuweisen. Bei diesem Ausgang sind die Kosten des Verfahrens der Beschwerdeführerin aufzuerlegen, deren Vermögensinteressen vorliegend zumindest mitbetroffen sind (Art. 156 Abs. 1 und 2, Art. 153 sowie 153a OG ). Die anwaltlich vertretenen Beschwerdegegnerinnen 1 und 2 haben für das Verfahren vor Bundesgericht Anspruch auf Parteientschädigung durch die Beschwerdeführerin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