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2P.126/2006 vom 14. August 2006</w:t>
      </w:r>
    </w:p>
    <w:p>
      <w:r>
        <w:t>Bundesgericht, 2006-08-14, DE</w:t>
      </w:r>
    </w:p>
    <w:p>
      <w:r>
        <w:rPr>
          <w:b/>
        </w:rPr>
        <w:t xml:space="preserve">Quelle: </w:t>
      </w:r>
      <w:r>
        <w:t>https://mcp.opencaselaw.ch/entscheid/bger_2P.126_2006</w:t>
      </w:r>
    </w:p>
    <w:p>
      <w:r>
        <w:t>FR: TF 2P.126/2006 du 14 août 2006</w:t>
      </w:r>
    </w:p>
    <w:p>
      <w:r>
        <w:t>IT: TF 2P.126/2006 del 14 agosto 2006</w:t>
      </w:r>
    </w:p>
    <w:p>
      <w:pPr>
        <w:pStyle w:val="Heading2"/>
      </w:pPr>
      <w:r>
        <w:t>Regeste</w:t>
      </w:r>
    </w:p>
    <w:p>
      <w:r>
        <w:t>Art. 9, 14 und 29 BV, Art. 6 und 8 EMRK (Familiennachzug) | Bürgerrecht und Ausländerrecht</w:t>
      </w:r>
    </w:p>
    <w:p>
      <w:pPr>
        <w:pStyle w:val="Heading2"/>
      </w:pPr>
      <w:r>
        <w:t>Erwägungen</w:t>
      </w:r>
    </w:p>
    <w:p>
      <w:r>
        <w:rPr>
          <w:b/>
        </w:rPr>
        <w:t>E. 1</w:t>
      </w:r>
    </w:p>
    <w:p>
      <w:r>
        <w:t>Der angefochtene Entscheid des Verwaltungsgerichts, mit dem auf die Beschwerde wegen Nichtbezahlung des Kostenvorschusses nicht eingetreten wird, stützt sich auf kantonales Prozessrecht. In der Sache selber geht es jedoch um die Anwendung von (öffentlichem) Bundesrecht. Die Beschwerdeführerin könnte, da sie aufgrund von Art. 7 ANAG einen grundsätzlichen Rechtsanspruch auf Nachzug ihres ausländischen Ehemannes besitzt, einen abschlägigen Sachentscheid des Verwaltungsgerichtes mit Verwaltungsgerichtsbeschwerde an das Bundesgericht weiterziehen (vgl. Art. 100 Abs. 1 lit. b Ziff. 3 OG). Tritt eine kantonale Rechtsmittelinstanz in einer der Verwaltungsgerichtsbeschwerde unterliegenden Streitsache gestützt auf kantonales Verfahrensrecht auf ein Rechtsmittel nicht ein und führt dies dazu, dass die Durchsetzung von Bundesrecht vereitelt werden könnte, so ist die Rüge, das kantonale Verfahrensrecht sei in verfassungswidriger (insbesondere willkürlicher) Weise angewendet worden, mit Verwaltungsgerichtsbeschwerde zu erheben, und zwar selbst dann, wenn nicht gleichzeitig eine Verletzung von materiellem Bundesverwaltungsrecht behauptet wird ( BGE 125 I 7 nicht publ. E. 2b, 123 I 275 E. 2c S. 277, 120 Ib 379 E. 1b S. 382, 118 Ia 8 E. 1b S. 10). Diese Situation ist hier gegeben. Mit der Beschwerde gegen den Nichteintretensentscheid des Verwaltungsgerichts beanstandet die Beschwerdeführerin die dieser Entscheidung zugrunde liegende Verweigerung der unentgeltlichen Rechtspflege, indem sie rügt, dass ihr Sachbegehren willkürlich und ohne Begründung als aussichtslos eingestuft worden sei. Für diese Rüge steht das Rechtsmittel der Verwaltungsgerichtsbeschwerde zur Verfügung, und die vorliegende Eingabe ist als solche entgegenzunehmen.</w:t>
      </w:r>
    </w:p>
    <w:p>
      <w:r>
        <w:rPr>
          <w:b/>
        </w:rPr>
        <w:t>E. 4</w:t>
      </w:r>
    </w:p>
    <w:p>
      <w:r>
        <w:t>Verfügungen, mit denen das prozessuale Armenrecht verweigert wird, müssen wenigstens summarisch begründet werden (vgl. etwa Urteil 5P.70/1992 vom 24. April 1992). Das Verwaltungsgericht beschränkte sich in seiner am 2. März 2006 versandten Verfügung auf die Feststellung der "Aussichtslosigkeit der Beschwerde", ohne im späteren Nichteintretensentscheid nochmals auf diese Frage einzugehen. Es erstattete auch keine Vernehmlassung, in welcher die beanstandete Verweigerung der unentgeltlichen Rechtspflege begründet würde. Die Vernehmlassung des kantonalen Departementes nimmt zwar in materieller Hinsicht zu den vor Verwaltungsgericht gestellten Prozessbegehren Stellung, doch wurde diese Eingabe erst nach Ablauf der vom Bundesgericht gesetzten Frist zur Post gegeben und kann insoweit nicht berücksichtigt werden. Es kann alsdann nicht Sache des Bundesgerichts sein, selber anstelle des Verwaltungsgerichts nach Gründen zu suchen, welche die Verweigerung der unentgeltlichen Rechtspflege rechtfertigen würden. Die Verwaltungsgerichtsbeschwerde ist wegen Verletzung des rechtlichen Gehörs ( Art. 29 Abs. 2 BV , Verstoss gegen die Begründungspflicht) gutzuheissen und der angefochtene Nichteintretensentscheid aufzuheben.</w:t>
      </w:r>
    </w:p>
    <w:p>
      <w:r>
        <w:rPr>
          <w:b/>
        </w:rPr>
        <w:t>E. 5</w:t>
      </w:r>
    </w:p>
    <w:p>
      <w:r>
        <w:t>Entsprechend diesem Verfahrensausgang sind keine Kosten zu erheben ( Art. 156 Abs. 2 OG ). Hingegen hat der Kanton Solothurn die Beschwerdeführerin für das bundesgerichtliche Verfahren angemessen zu entschädigen ( Art. 159 Abs. 2 OG ). Das für dieses Verfahren gestellte Gesuch um unentgeltliche Rechtspflege und Verbeiständung erweist sich damit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