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2F_9/2025 vom 6. Mai 2025</w:t>
      </w:r>
    </w:p>
    <w:p>
      <w:r>
        <w:t>Bundesgericht, 2025-05-06, DE</w:t>
      </w:r>
    </w:p>
    <w:p>
      <w:r>
        <w:rPr>
          <w:b/>
        </w:rPr>
        <w:t xml:space="preserve">Quelle: </w:t>
      </w:r>
      <w:r>
        <w:t>https://mcp.opencaselaw.ch/entscheid/bger_2F_9_2025</w:t>
      </w:r>
    </w:p>
    <w:p>
      <w:r>
        <w:t>FR: TF 2F_9/2025 du 6 mai 2025</w:t>
      </w:r>
    </w:p>
    <w:p>
      <w:r>
        <w:t>IT: TF 2F_9/2025 del 6 maggio 2025</w:t>
      </w:r>
    </w:p>
    <w:p>
      <w:pPr>
        <w:pStyle w:val="Heading2"/>
      </w:pPr>
      <w:r>
        <w:t>Erwägungen</w:t>
      </w:r>
    </w:p>
    <w:p>
      <w:r>
        <w:rPr>
          <w:b/>
        </w:rPr>
        <w:t>E. 1</w:t>
      </w:r>
    </w:p>
    <w:p>
      <w:r>
        <w:t>Urteile des Bundesgerichts erwachsen am Tag ihrer Ausfällung in Rechtskraft (vgl. Art. 61 BGG ). Eine nochmalige Überprüfung der einem Urteil des Bundesgerichts zugrunde liegenden Streitsache ist grundsätzlich ausgeschlossen. Das Gericht kann auf seine Urteile nur zurückkommen, wenn einer der in Art. 121 ff. BGG abschliessend aufgeführten Revisionsgründe vorliegt. Das Gesuch muss einen solchen anrufen oder zumindest Tatsachen nennen, die von einem gesetzlichen Revisionsgrund erfasst sind (vgl. Urteile 2F_7/2024 vom 6. Mai 2024 E. 2.1; 2F_11/2023 vom 8. September 2023 E. 2.2). Ob tatsächlich ein Grund zur Revision vorliegt, ist nicht eine Frage des Eintretens, sondern der materiellen Beurteilung (vgl. BGE 147 III 238 E. 1.2.1 f.). Revisionsgesuche müssen den Anforderungen an die Begründung gemäss Art. 42 Abs. 1 und Abs. 2 BGG genügen, weshalb die gesuchstellende Person in gedrängter Form darzulegen hat, inwiefern der von ihr behauptete Revisionsgrund vorliegen soll. Der Revisionsgrund hat sich zudem auf den Gegenstand des zu revidierenden Urteils zu beziehen (vgl. Urteile 2F_28/2023 vom 6. Februar 2024 E. 3; 2F_11/2023 vom 8. September 2023 E. 2.2).</w:t>
      </w:r>
    </w:p>
    <w:p>
      <w:r>
        <w:rPr>
          <w:b/>
        </w:rPr>
        <w:t>E. 2</w:t>
      </w:r>
    </w:p>
    <w:p>
      <w:r>
        <w:t>Im vorliegenden Revisionsgesuch beruft sich die Gesuchstellerin auf den Revisionsgrund von Art. 121 lit. d BGG . Sie stellt sich auf den Standpunkt, das Bundesgericht habe in den Akten liegende Tatsachen nicht berücksichtigt. Die Gesuchstellerin legt allerdings nicht in einer den Anforderungen von Art. 42 Abs. 2 BGG genügenden Weise nachvollziehbar dar, inwiefern die von ihr angerufenen Tatsachen erheblich sein sollen.</w:t>
      </w:r>
    </w:p>
    <w:p>
      <w:r>
        <w:rPr>
          <w:b/>
        </w:rPr>
        <w:t>E. 2.1</w:t>
      </w:r>
    </w:p>
    <w:p>
      <w:r>
        <w:t>Das Bundesgericht hat mit Urteil 2C_21/2024 vom 5. Februar 2025 hinsichtlich der gesetzmässigen Tarife festgehalten, dass der Begriff der "Gesetzmässigkeit" im individuellen Tarifprüfungsverfahren nach Art. 22 Abs. 2 lit. a StromVG (Streitfall) nicht etwas anderes bedeuten könne als im Verfahren nach Art. 22 Abs. 2 lit. b StromVG (Überprüfung von Amtes wegen). Allerdings sei die Frage, ob zur Prüfung der Gesetzmässigkeit der Tarife auf die deklarierten Werte und Angaben abgestellt werden dürfe oder ob die Behörden weitergehende Abklärungen zu treffen hätten, rein beweisrechtlicher Natur. Im Grundsatz stellten die im Reporting-Tool der ElCom erfassten Werte und Angaben eine geeignete Prüfungsbasis für die (beiden) Tarifprüfungsverfahren nach Art. 22 Abs. 2 lit. a und lit. b StromVG dar. Ob weitergehende Prüfungshandlungen vorzunehmen seien, liege im Prüfungsermessen der ElCom. Insofern könne sich das Prüfprogramm in den beiden Verfahren ohne Weiteres unterscheiden. Zwingend seien weitere Prüfungshandlungen nur, wenn Anhaltspunkte bestünden oder die ElCom Zweifel daran habe, dass die deklarierten Werte und Angaben nicht korrekt seien (vgl. Urteil 2C_21/2024 vom 5. Februar 2025 E. 5.5 und E. 5.6.2; zur Publikation vorgesehen).</w:t>
      </w:r>
    </w:p>
    <w:p>
      <w:r>
        <w:rPr>
          <w:b/>
        </w:rPr>
        <w:t>E. 2.2</w:t>
      </w:r>
    </w:p>
    <w:p>
      <w:r>
        <w:t>Die Gesuchstellerin setzt sich im Rahmen des Revisionsgesuchs zwar mit aktenkundigen Tatsachen auseinander, die ein unterschiedliches Prüfprogramm aufzeigen soll, abhängig davon, ob die ElCom ein Tarifprüfungsverfahren nach Art. 22 Abs. 2 lit. a StromVG (Streitfall) oder nach Art. 22 Abs. 2 lit. b StromVG (Überprüfung von Amtes wegen) durchgeführt hat. Die Gesuchstellerin unterlässt es aber, aufzuzeigen, inwiefern diese Tatsachen erheblich im Sinne von Art. 121 lit. d BGG sind (vgl. Art. 42 Abs. 2 BGG ). Insbesondere ergibt sich aus dem Revisionsgesuch nicht, weshalb das Bundesgericht hätte anerkennen müssen, dass die ElCom oder die Vorinstanz durch ein in tatsächlicher Hinsicht unterschiedliches Prüfprogramm ihr Prüfungsermessen nicht pflichtgemäss ausgeübt oder beweisrechtliche Vorgaben verletzt hätte. Solches ist auch nicht offenkundig, da sowohl im von Amtes wegen durchgeführten Tarifprüfungsverfahren als auch im von der Gesuchstellerin initiierten individuellen Tarifprüfungsverfahren die "Gesetzmässigkeit" der Tarife festgestellt wurden (vgl. Urteil 2C_21/2024 vom 5. Februar 2025 E. 5.5.3 i.f.; zur Publikation vorgesehen).</w:t>
      </w:r>
    </w:p>
    <w:p>
      <w:r>
        <w:rPr>
          <w:b/>
        </w:rPr>
        <w:t>E. 3</w:t>
      </w:r>
    </w:p>
    <w:p>
      <w:r>
        <w:t>Im Ergebnis ist auf das Revisionsgesuch mangels rechtsgenüglicher Begründung ohne Schriftenwechsel nicht einzutreten.</w:t>
      </w:r>
    </w:p>
    <w:p>
      <w:r>
        <w:t>Dem Verfahrensausgang entsprechend hat die Gesuchstellerin die Gerichtskosten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