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2F_6/2023 vom 18. April 2023</w:t>
      </w:r>
    </w:p>
    <w:p>
      <w:r>
        <w:t>Bundesgericht, 2023-04-18, DE</w:t>
      </w:r>
    </w:p>
    <w:p>
      <w:r>
        <w:rPr>
          <w:b/>
        </w:rPr>
        <w:t xml:space="preserve">Quelle: </w:t>
      </w:r>
      <w:r>
        <w:t>https://mcp.opencaselaw.ch/entscheid/bger_2F_6_2023</w:t>
      </w:r>
    </w:p>
    <w:p>
      <w:r>
        <w:t>FR: TF 2F_6/2023 du 18 avril 2023</w:t>
      </w:r>
    </w:p>
    <w:p>
      <w:r>
        <w:t>IT: TF 2F_6/2023 del 18 aprile 2023</w:t>
      </w:r>
    </w:p>
    <w:p>
      <w:pPr>
        <w:pStyle w:val="Heading2"/>
      </w:pPr>
      <w:r>
        <w:t>Erwägungen</w:t>
      </w:r>
    </w:p>
    <w:p>
      <w:r>
        <w:rPr>
          <w:b/>
        </w:rPr>
        <w:t>E. 1.1</w:t>
      </w:r>
    </w:p>
    <w:p>
      <w:r>
        <w:t>Mit Urteil der Einzelrichterin vom 14. Februar 2023 trat das Bundesverwaltungsgericht, Abteilung I, auf eine Eingabe von A.________ betreffend ein Schadenersatzbegehren gegen die Schweizerische Eidgenossenschaft nicht ein, weil er innert angesetzter Frist weder mitgeteilt hatte, dass es sich dabei um eine Beschwerde handle, noch eine Beschwerdeverbesserung eingereicht hatte. Zudem hatte er auch keinen Kostenvorschuss geleistet.</w:t>
      </w:r>
    </w:p>
    <w:p>
      <w:r>
        <w:rPr>
          <w:b/>
        </w:rPr>
        <w:t>E. 1.2</w:t>
      </w:r>
    </w:p>
    <w:p>
      <w:r>
        <w:t>Auf eine dagegen erhobene Beschwerde von A.________ vom 18. bzw. 27. Februar 2023 trat das Bundesgericht mit Urteil 2C_134/2023 vom 22. März 2023 mangels hinreichender Begründung ( Art. 42 Abs. 2 BGG ) nicht ein.</w:t>
      </w:r>
    </w:p>
    <w:p>
      <w:r>
        <w:rPr>
          <w:b/>
        </w:rPr>
        <w:t>E. 1.3</w:t>
      </w:r>
    </w:p>
    <w:p>
      <w:r>
        <w:t>Mit Eingabe vom 30. März 2023 (Postaufgabe) gelangt A.________ an das Bundesgericht und erklärt, "formelle Einsprache" gegen das Urteil vom 22. März 2023 erheben zu wollen.</w:t>
      </w:r>
    </w:p>
    <w:p>
      <w:r>
        <w:t>Die Eingabe ist als Revisionsgesuch gegen das Urteil 2C_134/2023 zu behandeln.</w:t>
      </w:r>
    </w:p>
    <w:p>
      <w:r>
        <w:t>Es wurde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rPr>
          <w:b/>
        </w:rPr>
        <w:t>E. 2.2</w:t>
      </w:r>
    </w:p>
    <w:p>
      <w:r>
        <w:t>Die vorliegende Eingabe genügt diesen Anforderungen nicht. Der Gesuchsteller bezieht sich nicht einmal ansatzweise auf einen der gesetzlichen Revisionsgründe und legt damit auch nicht dar, inwiefern ein solcher gegeben sein soll. Stattdessen beschränkt er sich darauf, das beanstandete Urteil als "gesetzlos" und das Verfahren als "Witz" zu bezeichnen. Zudem behauptet er - wie bereits in seiner Beschwerde vom 18. bzw. 27. Februar 2023 - die Schweiz sei eine "terroristische" und "betrügerische" Firma. Auf das Gesuch ist deshalb ohne Schriftenwechsel oder andere Instruktionsmassnahmen ( Art. 127 BGG ) nicht einzutreten.</w:t>
      </w:r>
    </w:p>
    <w:p>
      <w:r>
        <w:rPr>
          <w:b/>
        </w:rPr>
        <w:t>E. 2.3</w:t>
      </w:r>
    </w:p>
    <w:p>
      <w:r>
        <w:t>Das Bundesgericht behält sich vor, weitere Eingaben ähnlicher Art in dieser Angelegenheit, nach Prüfung, unbeantwortet abzulegen.</w:t>
      </w:r>
    </w:p>
    <w:p>
      <w:r>
        <w:rPr>
          <w:b/>
        </w:rPr>
        <w:t>E. 3</w:t>
      </w:r>
    </w:p>
    <w:p>
      <w:r>
        <w:t>Dem Verfahrensausgang entsprechend werden die umständehalber reduzierten Gerichtskosten dem Gesuchsteller auferlegt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