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2F_6/2012 vom 24. April 2012</w:t>
      </w:r>
    </w:p>
    <w:p>
      <w:r>
        <w:t>Bundesgericht, 2012-04-24, DE</w:t>
      </w:r>
    </w:p>
    <w:p>
      <w:r>
        <w:rPr>
          <w:b/>
        </w:rPr>
        <w:t xml:space="preserve">Quelle: </w:t>
      </w:r>
      <w:r>
        <w:t>https://mcp.opencaselaw.ch/entscheid/bger_2F_6_2012</w:t>
      </w:r>
    </w:p>
    <w:p>
      <w:r>
        <w:t>FR: TF 2F_6/2012 du 24 avril 2012</w:t>
      </w:r>
    </w:p>
    <w:p>
      <w:r>
        <w:t>IT: TF 2F_6/2012 del 24 aprile 2012</w:t>
      </w:r>
    </w:p>
    <w:p>
      <w:pPr>
        <w:pStyle w:val="Heading2"/>
      </w:pPr>
      <w:r>
        <w:t>Erwägungen</w:t>
      </w:r>
    </w:p>
    <w:p>
      <w:r>
        <w:rPr>
          <w:b/>
        </w:rPr>
        <w:t>E. 1</w:t>
      </w:r>
    </w:p>
    <w:p>
      <w:r>
        <w:t>Die Gesuchsteller berufen sich einerseits auf Art. 124 Abs. 1 lit. b BGG , welcher auf Art. 121 lit. b-d BGG verweist, und andererseits auf Art. 123 BGG .</w:t>
      </w:r>
    </w:p>
    <w:p>
      <w:r>
        <w:t>Die Revisionsfrist ist eingehalten ( Art. 124 BGG ). Die anderen Sachurteilsvoraussetzungen sind grundsätzlich gegeben (vgl. Art. 127 BGG und die Ausführungen dazu von ELISABETH ESCHER, in: Niggli/Uebersax/Wiprächtiger (Hrsg.), Bundesgerichtsgesetz, 2. Aufl. 2011). Ob die Gesuchsteller die Anforderungen von Art. 42 BGG erfüllen, kann offengelassen werden, da das Revisionsgesuch ohnehin abzuweisen ist.</w:t>
      </w:r>
    </w:p>
    <w:p>
      <w:r>
        <w:rPr>
          <w:b/>
        </w:rPr>
        <w:t>E. 2.1</w:t>
      </w:r>
    </w:p>
    <w:p>
      <w:r>
        <w:t>Die Revision eines Entscheids des Bundesgerichts kann verlangt werden, wenn u.a. einzelne Anträge unbeurteilt geblieben sind (lit. c) und das Gericht in den Akten liegende erhebliche Tatsachen aus Versehen nicht berücksichtigt hat ( Art. 121 lit. c und d BGG ); nicht relevant ist hier in jedem Fall Art. 121 lit. b BGG . Nach Art. 123 Abs. 2 lit. a BGG kann die Revision zudem verlangt werden in öffentlich-rechtlichen Angelegenheiten,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2.2</w:t>
      </w:r>
    </w:p>
    <w:p>
      <w:r>
        <w:t>Die Gesuchsteller rügen ausführlich, dass das Bundesgericht im Entscheid vom 16. Februar 2012 (2D_55/2011) ihrer besonderen Situation nicht genügend Rechnung getragen habe und das Urteil aus ihrer Sicht gegen verschiedene Verfassungsnormen verstosse; sie verlangen eine Neubeurteilung der strittigen Angelegenheit. Voraussetzung dafür bildet allerdings das Vorliegen verschiedener, oben dargestellter Revisionsgründe.</w:t>
      </w:r>
    </w:p>
    <w:p>
      <w:r>
        <w:t>Die Gesuchsteller unterlassen es, darzulegen, welche Anträge unbeurteilt geblieben oder welche in den Akten liegende erhebliche Tatsachen aus Versehen nicht berücksichtigt worden sind. Die Revisionsgründe von Art. 121 lit. c und d BGG liegen somit nicht vor.</w:t>
      </w:r>
    </w:p>
    <w:p>
      <w:r>
        <w:t>Im Entscheid vom 16. Februar 2012 (2D_55/2011) ist das Bundesgericht auf die subsidiäre Verfassungsbeschwerde nicht eingetreten, weil u.a. noch gar keine Verfügung ergangen und somit kein Anfechtungsgegenstand gegeben war. Die angerufenen Revisionsgründe müssen sich demzufolge auf diese Sachlage beziehen. Die von den Gesuchstellern als Nova bezeichnete Tatsachen (ausstehende Gerichtskosten von CHF 98'014.50; Steuerschuld einer ehemaligen bernischen Regierungsrätin) sind nicht geeignet, das Vorhandensein einer Verfügung zu belegen. Insofern ist auch der Revisionsgrund von Art. 123 Abs. 2 lit. a BGG nicht gegeben.</w:t>
      </w:r>
    </w:p>
    <w:p>
      <w:r>
        <w:rPr>
          <w:b/>
        </w:rPr>
        <w:t>E. 3</w:t>
      </w:r>
    </w:p>
    <w:p>
      <w:r>
        <w:t>Das Revisionsgesuch ist nach dem Gesagten abzuweisen. Bei diesem Verfahrensausgang ist das Gesuch um aufschiebende Wirkung gegenstandslos, und die unterliegenden Gesuchsteller wären solidarisch kostenpflichtig; in Anbetracht der besonderen Umstände wird auf die Erhebung der 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