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2F_5/2021 vom 16. April 2021</w:t>
      </w:r>
    </w:p>
    <w:p>
      <w:r>
        <w:t>Bundesgericht, 2021-04-16, FR</w:t>
      </w:r>
    </w:p>
    <w:p>
      <w:r>
        <w:rPr>
          <w:b/>
        </w:rPr>
        <w:t xml:space="preserve">Quelle: </w:t>
      </w:r>
      <w:r>
        <w:t>https://mcp.opencaselaw.ch/entscheid/bger_2F_5_2021</w:t>
      </w:r>
    </w:p>
    <w:p>
      <w:r>
        <w:t>FR: TF 2F_5/2021 du 16 avril 2021</w:t>
      </w:r>
    </w:p>
    <w:p>
      <w:r>
        <w:t>IT: TF 2F_5/2021 del 16 aprile 2021</w:t>
      </w:r>
    </w:p>
    <w:p>
      <w:pPr>
        <w:pStyle w:val="Heading2"/>
      </w:pPr>
      <w:r>
        <w:t>Erwägungen</w:t>
      </w:r>
    </w:p>
    <w:p>
      <w:r>
        <w:rPr>
          <w:b/>
        </w:rPr>
        <w:t>E. 1</w:t>
      </w:r>
    </w:p>
    <w:p>
      <w:r>
        <w:t>Par arrêt 2C_460/2020 du 29 septembre 2020, le Tribunal fédéral a rejeté dans la mesure où il était recevable le recours que A.________ avait déposé contre l'arrêt du 4 mai 2020 du Tribunal cantonal du canton de Vaud confirmant le retrait définitif de l'autorisation de pratiquer la médecine à titre indépendant à l'intéressé.</w:t>
      </w:r>
    </w:p>
    <w:p>
      <w:r>
        <w:t>Le Tribunal fédéral, dans l'arrêt 2F_23/2020 du 17 novembre 2020, a déclaré irrecevable la requête de révision déposée par A.________ à l'encontre de l'arrêt 2C_460/2020 susmentionné.</w:t>
      </w:r>
    </w:p>
    <w:p>
      <w:r>
        <w:t>Par arrêt 2F_29/2020 du 22 janvier 2021, la Cour de céans a rejeté dans la mesure où elle était recevable, la demande de révision de l'arrêt 2F_23/2020 précité.</w:t>
      </w:r>
    </w:p>
    <w:p>
      <w:r>
        <w:t>A.________ a formé une requête de révision de l'arrêt 2F_29/2020 mentionné ci-dessus fondée sur l' art. 121 let . c et d LTF, ainsi que l' art. 122 let . c LTF.</w:t>
      </w:r>
    </w:p>
    <w:p>
      <w:r>
        <w:t>Il n'a pas été ordonné d'échange des écritures ( art. 127 LTF ).</w:t>
      </w:r>
    </w:p>
    <w:p>
      <w:r>
        <w:rPr>
          <w:b/>
        </w:rPr>
        <w:t>E. 2.1</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2F_32/2020 du 28 décembre 2020 consid. 3).</w:t>
      </w:r>
    </w:p>
    <w:p>
      <w:r>
        <w:rPr>
          <w:b/>
        </w:rPr>
        <w:t>E. 2.2</w:t>
      </w:r>
    </w:p>
    <w:p>
      <w:r>
        <w:t>En l'espèce, si l'intéressé fonde sa demande de révision sur l' art. 121 let . c et d LTF, il ne développe aucune motivation topique relative à ceux-ci. Il ne ressort au demeurant pas de son écriture que les conditions posées par cette disposition seraient réunies. Le requérant doit comprendre que l'arrêt sur le fond rendu le 29 septembre 2020 dans la cause 2C_460/2020 est entré en force et ne peut plus être remis en cause, même par la voie extraordinaire de la révision. Par sa dernière requête, l'intéressé pouvait uniquement s'en prendre à l'arrêt 2F_29/2020 du 22 janvier 2021 qui ne traite pas du fond de la cause définitivement jugée. Au surplus, la procédure de révision n'est pas destinée à ouvrir un nouveau débat sur le bien-fondé de l'arrêt au fond; elle ne saurait être utilisée aux fins de remettre en question la solution juridique adoptée par le Tribunal fédéral, comme le requérant tente de le faire tout au long de sa requête, ainsi que dans les mémoires précédents (arrêt 1F_34/2020 du 26 novembre 2020 consid. 2.1.2).</w:t>
      </w:r>
    </w:p>
    <w:p>
      <w:r>
        <w:t>Quant à l' art. 122 let . c LTF, il trouve application lorsqu'un arrêt définitif de la Cour européenne des droits de l'Homme a été rendu, ce qui n'est pas le cas dans la présente affaire.</w:t>
      </w:r>
    </w:p>
    <w:p>
      <w:r>
        <w:t>En conclusion, la demande de révision n'est pas suffisamment motivée au sens de l' art. 42 al. 2 LTF .</w:t>
      </w:r>
    </w:p>
    <w:p>
      <w:r>
        <w:rPr>
          <w:b/>
        </w:rPr>
        <w:t>E. 3</w:t>
      </w:r>
    </w:p>
    <w:p>
      <w:r>
        <w:t>Les considérants qui précèdent conduisent à l'irrecevabilité de la demande de révision de l'arrêt 2F_29/2020 rendu le 22 janvier 2021 par le Tribunal fédéral.</w:t>
      </w:r>
    </w:p>
    <w:p>
      <w:r>
        <w:t>Un émolument judiciaire sera mis à la charge du recourant en tenant compte de sa manière de procéder et du travail provoqué par le dépôt d'une demande de révision en bonne partie en dehors du sujet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