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4/2025 vom 27. Februar 2025</w:t>
      </w:r>
    </w:p>
    <w:p>
      <w:r>
        <w:t>Bundesgericht, 2025-02-27, DE</w:t>
      </w:r>
    </w:p>
    <w:p>
      <w:r>
        <w:rPr>
          <w:b/>
        </w:rPr>
        <w:t xml:space="preserve">Quelle: </w:t>
      </w:r>
      <w:r>
        <w:t>https://mcp.opencaselaw.ch/entscheid/bger_2F_4_2025</w:t>
      </w:r>
    </w:p>
    <w:p>
      <w:r>
        <w:t>FR: TF 2F 4/2025 du 27 février 2025</w:t>
      </w:r>
    </w:p>
    <w:p>
      <w:r>
        <w:t>IT: TF 2F 4/2025 del 27 febbraio 2025</w:t>
      </w:r>
    </w:p>
    <w:p>
      <w:pPr>
        <w:pStyle w:val="Heading2"/>
      </w:pPr>
      <w:r>
        <w:t>Regeste</w:t>
      </w:r>
    </w:p>
    <w:p>
      <w:r>
        <w:t>Forderung / Verantwortlichkeitsklage | Staatshaftung</w:t>
      </w:r>
    </w:p>
    <w:p>
      <w:pPr>
        <w:pStyle w:val="Heading2"/>
      </w:pPr>
      <w:r>
        <w:t>Erwägungen</w:t>
      </w:r>
    </w:p>
    <w:p>
      <w:r>
        <w:rPr>
          <w:b/>
        </w:rPr>
        <w:t>E. 1.1</w:t>
      </w:r>
    </w:p>
    <w:p>
      <w:r>
        <w:t>A.________ reichte mit Eingabe vom 13. Mai 2024 beim Kreisgericht St. Gallen eine Klage gegen den Kanton St. Gallen und die Gemeinde Rapperswil-Jona ein, mit der sie Schadenersatz von Fr. 220'000.-- forderte. Am 21. Mai 2024 forderte das Kreisgericht einen Kostenvorschuss von Fr. 11'200.--, der innert zehn Tagen zu bezahlen sei. Nachdem der Kostenvorschuss auch innert Nachfrist nicht geleistet worden war, trat das Kreisgericht mit Entscheid vom 16. Juli 2024 auf die Klage nicht ein. Auf eine dagegen erhobene Berufung von A.________ trat das Kantonsgericht St. Gallen, III. Zivilkammer, mit Entscheid vom 21. Oktober 2024 mangels hinreichenden Berufungsbegehrens und hinreichender Begründung nicht ein.</w:t>
      </w:r>
    </w:p>
    <w:p>
      <w:r>
        <w:rPr>
          <w:b/>
        </w:rPr>
        <w:t>E. 1.2</w:t>
      </w:r>
    </w:p>
    <w:p>
      <w:r>
        <w:t>Mit Urteil 2C_578/2024 vom 12. Dezember 2024 trat das Bundesgericht auf eine dagegen erhobene Beschwerde von A.________ mangels rechtsgenügender Begründung nicht ein.</w:t>
      </w:r>
    </w:p>
    <w:p>
      <w:r>
        <w:rPr>
          <w:b/>
        </w:rPr>
        <w:t>E. 1.3</w:t>
      </w:r>
    </w:p>
    <w:p>
      <w:r>
        <w:t>A.________ gelangt mit elektronischer Eingabe vom 12. Februar 2025 an das Bundesgericht und ersucht unter anderem um Revision des Urteils 2C_578/2024 vom 12. Dezember 2024. 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 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2.2</w:t>
      </w:r>
    </w:p>
    <w:p>
      <w:r>
        <w:t>Die vorliegende Eingabe genügt den genannten Begründungsanforderungen nicht. Die Gesuchstellerin beruft sich weder ausdrücklich noch sinngemäss auf einen der Revisionsgründe von Art. 121 ff. BGG . Sie bringt einzig vor, sie ersuche um die Revision des Urteils 2C_578/2024, um ihren Ruf wiederherzustellen. Soweit überhaupt nachvollziehbar erschöpft sich ihre Eingabe im Wesentlichen in pauschalen Vorwürfen gegen Behörden bzw. Behördenmitglieder ohne erkennbaren Zusammenhang zum Urteil, um dessen Revision ersucht wird. Damit vermag die Gesuchstellerin nicht darzutun, inwiefern ein Revisionsgrund in Bezug auf das Urteil 2C_578/2024 vorliegen soll und ein solcher ist im Übrigen auch nicht ersichtlich.</w:t>
      </w:r>
    </w:p>
    <w:p>
      <w:r>
        <w:rPr>
          <w:b/>
        </w:rPr>
        <w:t>E. 3.1</w:t>
      </w:r>
    </w:p>
    <w:p>
      <w:r>
        <w:t>Im Ergebnis ist auf das Revisionsgesuch mangels rechtsgenügender Begründung (Art. 42 Abs. 2 i.V.m. Art. 121 ff. BGG ) ohne Schriftenwechsel oder sonstige Instruktionsmassnahmen ( Art. 127 BGG ) nicht einzutreten.</w:t>
      </w:r>
    </w:p>
    <w:p>
      <w:r>
        <w:rPr>
          <w:b/>
        </w:rPr>
        <w:t>E. 3.2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