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2F_4/2011 vom 10. Februar 2011</w:t>
      </w:r>
    </w:p>
    <w:p>
      <w:r>
        <w:t>Bundesgericht, 2011-02-10, FR</w:t>
      </w:r>
    </w:p>
    <w:p>
      <w:r>
        <w:rPr>
          <w:b/>
        </w:rPr>
        <w:t xml:space="preserve">Quelle: </w:t>
      </w:r>
      <w:r>
        <w:t>https://mcp.opencaselaw.ch/entscheid/bger_2F_4_2011</w:t>
      </w:r>
    </w:p>
    <w:p>
      <w:r>
        <w:t>FR: TF 2F_4/2011 du 10 février 2011</w:t>
      </w:r>
    </w:p>
    <w:p>
      <w:r>
        <w:t>IT: TF 2F_4/2011 del 10 febbraio 2011</w:t>
      </w:r>
    </w:p>
    <w:p>
      <w:pPr>
        <w:pStyle w:val="Heading2"/>
      </w:pPr>
      <w:r>
        <w:t>Erwägungen</w:t>
      </w:r>
    </w:p>
    <w:p>
      <w:r>
        <w:rPr>
          <w:b/>
        </w:rPr>
        <w:t>E. 1.1</w:t>
      </w:r>
    </w:p>
    <w:p>
      <w:r>
        <w:t>En vertu de l' art. 121 LTF , la révision d'un arrêt du Tribunal fédéral peut être demandée, notamment, si les dispositions concernant la composition du tribunal ou la récusation n'ont pas été observées (let. a). Les motifs de récusation des juges du Tribunal fédéral sont énoncés aux art. 34 ss LTF . Y figure en particulier l'obligation pour les juges et les greffiers de se récuser s'ils pouvaient être prévenus de toute autre manière que celles prévues par l'art. 34 al. 1 let. a à d LTF, notamment en raison d'une amitié étroite ou d'une inimitié personnelle avec une partie ou son mandataire ( art. 34 al. 1 let . e LTF).</w:t>
      </w:r>
    </w:p>
    <w:p>
      <w:r>
        <w:rPr>
          <w:b/>
        </w:rPr>
        <w:t>E. 1.2</w:t>
      </w:r>
    </w:p>
    <w:p>
      <w:r>
        <w:t>En vertu de l' art. 121 LTF , la révision d'un arrêt du Tribunal fédéral peut aussi être demandée, notamment, si, par inadvertance, le tribunal n'a pas pris en considération des faits pertinents qui ressortent du dossier (let. d). L'inadvertance au sens de l' art. 121 let . d LTF suppose, selon la jurisprudence,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de l'application du droit. En outre, ce motif de révision ne peut être invoqué que si les faits qui n'ont pas été pris en considération sont "pertinents": il doit s'agir de faits susceptibles d'entraîner une décision différente de celle qui a été prise et plus favorable au requérant (cf. arrêt 1F_16/2008 du 11 août 2008, consid. 3 in SJ 2008 I p. 465; ATF 122 II 17 consid. 3 p. 18 et les références). La révision peut par ailleurs être demandée dans les affaires de droit public, si le requérant découvre après coup des faits pertinents ou des moyens de preuve concluants qu'il n'avait pas pu invoquer dans la procédure précédente, à l'exclusion des faits ou moyens de preuve postérieurs à l'arrêt ( art. 123 al. 2 let. a LTF ). Ne constituent pas des motifs de révision une éventuelle violation du droit fédéral, qui englobe le droit international, ou une mauvaise appréciation juridique des faits, une jurisprudence nouvelle ou ancienne, mais omise, ainsi qu'une nouvelle loi (cf. Pierre Ferrari, Commentaire romand de la LTF, n° 15 ad art. 123 LTF et la jurisprudence citée).</w:t>
      </w:r>
    </w:p>
    <w:p>
      <w:r>
        <w:rPr>
          <w:b/>
        </w:rPr>
        <w:t>E. 1.3</w:t>
      </w:r>
    </w:p>
    <w:p>
      <w:r>
        <w:t>L'art. 124 al. 1 let. b et d LTF prévoit que la demande de révision doit être déposée devant le Tribunal fédéral pour violation d'autres règles de procédure, dans les 30 jours qui suivent la notification de l'expédition complète de l'arrêt et, pour les autres motifs, dans les 90 jours qui suivent la découverte du motif de révision, mais au plus tôt cependant dès la notification de l'expédition complète de l'arrêt ou dès la clôture de la procédure pénale.</w:t>
      </w:r>
    </w:p>
    <w:p>
      <w:r>
        <w:rPr>
          <w:b/>
        </w:rPr>
        <w:t>E. 2</w:t>
      </w:r>
    </w:p>
    <w:p>
      <w:r>
        <w:t>Le requérant demande la révision de l'arrêt 4A_103/2009 du 27 avril 2009 (cf. mémoire du 27 janvier 2011, chapitre IV, p. 26 ss) en application de l' art. 123 al. 2 let. a LTF .</w:t>
      </w:r>
    </w:p>
    <w:p>
      <w:r>
        <w:t>Il soutient qu'il a découvert récemment que le contrat de mandat qui le liait à son ancien mandataire était frappé de nullité parce que ce dernier lui aurait caché de juin 1971 au 18 mars 2002 le conflit d'intérêt qu'il entretenait avec l'assureur RC du véhicule fautif, ainsi que les comportements qu'il expose de la page 27 à la page 29 de son mémoire du 27 janvier 2011. Dans la mesure où il ne s'agit pas d'une question juridique liée à la validité du contrat de mandat, cette allégation porte certes sur un fait antérieur à l'arrêt 4A_103/2009 du 27 avril 2009, mais que le Tribunal fédéral connaissait ainsi que cela ressort des considérants B.b et 2.1 de cet arrêt qui font référence au "comportement de l'intimé adopté entre 1993 et 2002". Par conséquent, dans l'arrêt 4A_103/2009 du 27 avril 2009, le Tribunal fédéral n'a pas statué en se fondant sur des faits inexacts ou incomplets.</w:t>
      </w:r>
    </w:p>
    <w:p>
      <w:r>
        <w:rPr>
          <w:b/>
        </w:rPr>
        <w:t>E. 3</w:t>
      </w:r>
    </w:p>
    <w:p>
      <w:r>
        <w:t>Le requérant demande la révision de l'arrêt 2E_3/2010 du 1er décembre 2010 (cf. mémoire du 27 janvier 2011, chapitre III, p. 14 ss) en application de l' art. 121 LTF .</w:t>
      </w:r>
    </w:p>
    <w:p>
      <w:r>
        <w:rPr>
          <w:b/>
        </w:rPr>
        <w:t>E. 3.1</w:t>
      </w:r>
    </w:p>
    <w:p>
      <w:r>
        <w:t>A l'appui de la révision de l'arrêt 2E_9/2010 du 1er décembre 2010, le requérant demande la récusation du Juge A. Zünd (mémoire du 27 janvier 2011, p. 21). Le motif de récusation qu'il invoque est le suivant: "Vu l' art. 9 Cst. Protection contre l'arbitraire et protection de la bonne foi : «Toute personne a le droit d'être traitée par les organes de l'Etat sans arbitraire et conformément aux règles sur la bonne foi», ne pouvant pas imposer au président Andreas Zünd de respecter de bonne foi la jurisprudence susmentionnée du Tribunal fédéral pour éviter de mauvais traitement résultant d'un règlement interminable, je demande sa récusation et la révision de l'ATF 2E_9/2010 du 1er décembre 2010". Le requérant perd de vue que ce sont les déclarations avant ou pendant la procédure qui, en particulier, peuvent fonder une dénonciation pour apparence de prévention ( ATF 125 I 119 consid. 3a p. 122) et non pas les motifs à l'appui de la décision finalement rendue, même s'ils donnent tort au justiciable, de sorte que l'arrêt auquel le juge A. Zünd a participé ne saurait être révisé pour ce motif.</w:t>
      </w:r>
    </w:p>
    <w:p>
      <w:r>
        <w:rPr>
          <w:b/>
        </w:rPr>
        <w:t>E. 3.2</w:t>
      </w:r>
    </w:p>
    <w:p>
      <w:r>
        <w:t>A l'appui de la révision de l'arrêt 2E_3/2010 du 1er décembre 2010, le requérant soutient à tort et en vain que le Tribunal fédéral n'a pas pris en considération son impotence grave, mise en évidence dans le dossier, dont il détaille les conséquences possibles en pages 23, 24 et 25 de son mémoire du 27 janvier 2011. En effet, le considérant A de l'arrêt 2E_3/2010 fait référence au "grave accident de la route" subi par le requérant et le considérant 3.2 en page 6 (au début) fait référence aux "graves séquelles physiques et psychiques dont souffre assurément le demandeur", soit en l'espèce le requérant. Par conséquent, dans l'arrêt 2E_3/2010 du 1er décembre 2010, le Tribunal fédéral n'a pas méconnu les faits pertinents tels qu'ils ressortaient du dossier.</w:t>
      </w:r>
    </w:p>
    <w:p>
      <w:r>
        <w:rPr>
          <w:b/>
        </w:rPr>
        <w:t>E. 4</w:t>
      </w:r>
    </w:p>
    <w:p>
      <w:r>
        <w:t>Pour le surplus, les nombreux griefs de violation du droit fédéral, notamment de la loi sur le Tribunal fédéral, s'agissant du refus de l'assistance judiciaire dans la procédure 2E_3/2010 (mémoire du 27 janvier 2011, p. 21), de la loi sur la circulation routière, de la loi sur la responsabilité de la Confédération, des membres de ses autorités et de ses fonctionnaires, de la Convention de Vienne, de la Convention EDH et du Pacte ONU II ainsi que d'autres conventions internationales, du jus cogens ou de la jurisprudence du Tribunal fédéral que le requérant invoque dans son mémoire du 27 janvier 2011 ne constituent pas des motifs de révision (cf. consid. 1.2 ci-dessus). Dans ces conditions, il n'est pas utile d'accorder au requérant l'assistance du Prof. R. Kolb pour qu'il apporte ses lumières sur l'importance du jus cogens, qui ne joue aucun rôle dans cette affaire.</w:t>
      </w:r>
    </w:p>
    <w:p>
      <w:r>
        <w:rPr>
          <w:b/>
        </w:rPr>
        <w:t>E. 5</w:t>
      </w:r>
    </w:p>
    <w:p>
      <w:r>
        <w:t>Par conséquent, la demande de révision de l'arrêt 4A_103/2009 rendu le 27 avril 2009 et de l'arrêt 2E_3/2010 du 1er décembre 2010 doit être rejetée.</w:t>
      </w:r>
    </w:p>
    <w:p>
      <w:r>
        <w:t>Au vu des circonstances de la cause, il se justifie de ne pas percevoir de frais de la procédure fédérale ( art. 66 al. 1 LTF ). La requête d'assistance judiciaire est dès lors sans objet. La demande de nomination comme défenseur d'office de R. Kolb est rejetée.</w:t>
      </w:r>
    </w:p>
    <w:p>
      <w:r>
        <w:t>Le requérant est en outre averti que le Tribunal fédéral n'entrera plus en matière sur de nouvelles requêtes, mémoires ou recours portant sur les mêmes objets que ceux qui étaient à l'origine des procédures 2C_511/2010, 2F_6/2010, 4A_103/2009, 2E_3/2010 et 2F_4/2011.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