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 3/2011 vom 23. Februar 2011</w:t>
      </w:r>
    </w:p>
    <w:p>
      <w:r>
        <w:t>Bundesgericht, 2011-02-23, IT</w:t>
      </w:r>
    </w:p>
    <w:p>
      <w:r>
        <w:rPr>
          <w:b/>
        </w:rPr>
        <w:t xml:space="preserve">Quelle: </w:t>
      </w:r>
      <w:r>
        <w:t>https://mcp.opencaselaw.ch/entscheid/bger_2F_3_2011</w:t>
      </w:r>
    </w:p>
    <w:p>
      <w:r>
        <w:t>FR: TF 2F 3/2011 du 23 février 2011</w:t>
      </w:r>
    </w:p>
    <w:p>
      <w:r>
        <w:t>IT: TF 2F 3/2011 del 23 febbraio 2011</w:t>
      </w:r>
    </w:p>
    <w:p>
      <w:pPr>
        <w:pStyle w:val="Heading2"/>
      </w:pPr>
      <w:r>
        <w:t>Regeste</w:t>
      </w:r>
    </w:p>
    <w:p>
      <w:r>
        <w:t>Domanda di revisione della sentenza del Tribunale federale svizzero 2C_157/2010 e 2C_163/2010 del 12 dicembre 2010 | Finanze pubbliche &amp; diritto tributario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Per quanto precede, la domanda di revisione dev'essere respinta. Le spese giudiziarie vanno poste a carico degli istanti n. 1, in solido ( art. 66 cpv. 1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