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31/2019 vom 18. November 2019</w:t>
      </w:r>
    </w:p>
    <w:p>
      <w:r>
        <w:t>Bundesgericht, 2019-11-18, DE</w:t>
      </w:r>
    </w:p>
    <w:p>
      <w:r>
        <w:rPr>
          <w:b/>
        </w:rPr>
        <w:t xml:space="preserve">Quelle: </w:t>
      </w:r>
      <w:r>
        <w:t>https://mcp.opencaselaw.ch/entscheid/bger_2F_31_2019</w:t>
      </w:r>
    </w:p>
    <w:p>
      <w:r>
        <w:t>FR: TF 2F 31/2019 du 18 novembre 2019</w:t>
      </w:r>
    </w:p>
    <w:p>
      <w:r>
        <w:t>IT: TF 2F 31/2019 del 18 novembre 2019</w:t>
      </w:r>
    </w:p>
    <w:p>
      <w:pPr>
        <w:pStyle w:val="Heading2"/>
      </w:pPr>
      <w:r>
        <w:t>Regeste</w:t>
      </w:r>
    </w:p>
    <w:p>
      <w:r>
        <w:t>Revisionsgesuch gegen das Urteil des Schweizerischen Bundesgerichts 2C_907/2019 vom 30. Oktober 2019 | Öffentliche Finanzen &amp; Abgaberecht</w:t>
      </w:r>
    </w:p>
    <w:p>
      <w:pPr>
        <w:pStyle w:val="Heading2"/>
      </w:pPr>
      <w:r>
        <w:t>Erwägungen</w:t>
      </w:r>
    </w:p>
    <w:p>
      <w:r>
        <w:rPr>
          <w:b/>
        </w:rPr>
        <w:t>E. 1</w:t>
      </w:r>
    </w:p>
    <w:p>
      <w:r>
        <w:t>Das Bundesgericht ist mit Urteil 2C_907/2019 vom 30. Oktober 2019 auf eine Beschwerde von A.________ nicht eingetreten. Mit "Berufung" vom 14. November 2019 gelangt A.________ gegen dieses Urteil an das Bundesgericht.</w:t>
      </w:r>
    </w:p>
    <w:p>
      <w:r>
        <w:rPr>
          <w:b/>
        </w:rPr>
        <w:t>E. 2</w:t>
      </w:r>
    </w:p>
    <w:p>
      <w:r>
        <w:t>Das Bundesgericht ist nicht Rechtsmittelinstanz über seine eigenen Urteile. Das Bundesgesetz vom 17. Juni 2005 über das Bundesgericht (BGG; SR 173.110) sieht keine Berufung gegen Urteile des Bundesgerichts vor, weshalb auf das offensichtlich unzulässige Rechtsmittel nicht einzutreten ist ( Art. 108 Abs. 1 lit. a BGG ). 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 Die Gesuchstellerin beruft sich auf keinen Revisionsgrund gemäss Art. 121 ff. BGG . Aus ihrer Eingabe ergibt sich auch sinngemäss nicht im Ansatz, inwiefern ein solcher vorliegen könnte. Dass sie mit dem Urteil 2C_907/2019 vom 30. Oktober 2019 nicht einverstanden ist, stellt keinen Revisionsgrund dar. Die Eingabe ist offensichtlich nicht als Revisionsgesuch zu verstehen.</w:t>
      </w:r>
    </w:p>
    <w:p>
      <w:r>
        <w:rPr>
          <w:b/>
        </w:rPr>
        <w:t>E. 3</w:t>
      </w:r>
    </w:p>
    <w:p>
      <w:r>
        <w:t>Ausnahmsweise kann auf eine Kostenauflage verzichtet werden ( Art. 66 Abs. 1 BGG ).</w:t>
      </w:r>
    </w:p>
    <w:p>
      <w:r>
        <w:rPr>
          <w:b/>
        </w:rPr>
        <w:t>E. 4</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