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30/2021 vom 12. November 2021</w:t>
      </w:r>
    </w:p>
    <w:p>
      <w:r>
        <w:t>Bundesgericht, 2021-11-12, DE</w:t>
      </w:r>
    </w:p>
    <w:p>
      <w:r>
        <w:rPr>
          <w:b/>
        </w:rPr>
        <w:t xml:space="preserve">Quelle: </w:t>
      </w:r>
      <w:r>
        <w:t>https://mcp.opencaselaw.ch/entscheid/bger_2F_30_2021</w:t>
      </w:r>
    </w:p>
    <w:p>
      <w:r>
        <w:t>FR: TF 2F 30/2021 du 12 novembre 2021</w:t>
      </w:r>
    </w:p>
    <w:p>
      <w:r>
        <w:t>IT: TF 2F 30/2021 del 12 novembre 2021</w:t>
      </w:r>
    </w:p>
    <w:p>
      <w:pPr>
        <w:pStyle w:val="Heading2"/>
      </w:pPr>
      <w:r>
        <w:t>Regeste</w:t>
      </w:r>
    </w:p>
    <w:p>
      <w:r>
        <w:t>Schadenersatz | Staatshaftung</w:t>
      </w:r>
    </w:p>
    <w:p>
      <w:pPr>
        <w:pStyle w:val="Heading2"/>
      </w:pPr>
      <w:r>
        <w:t>Erwägungen</w:t>
      </w:r>
    </w:p>
    <w:p>
      <w:r>
        <w:rPr>
          <w:b/>
        </w:rPr>
        <w:t>E. 1</w:t>
      </w:r>
    </w:p>
    <w:p>
      <w:r>
        <w:t>Das Bundesgericht wies am 8. April 2005 eine Haftungsklage von A.________ gegen die Eidgenossenschaft ab (Urteil 2A.186/2005). Mit Eingabe vom 6. November 2021 beantragt A.________, der Bundesrat habe die Aufhebung des Urteils 2A.186/2005 "einzuleiten". Der entsprechende Antrag kann dahingehend verstanden werden, das bundesgerichtliche Urteil sei zu revidieren.</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das Urteil 2F_28/2020 vom 21. April 2021 E. 3). Der Gesuchsteller nennt keinen Revisionsgrund und legt damit auch nicht dar, inwiefern ein solcher gegeben sein soll; er beantragt lediglich, dass die mit dem Urteil 2A.186/2005 "mit faktisch angeordneter 'Schuldenknechtschaft' über Aufhebung zu beseitigen" sei. Die Eingabe genügt den gesetzlichen Begründungsanforderungen an ein Revisionsgesuch nicht.</w:t>
      </w:r>
    </w:p>
    <w:p>
      <w:r>
        <w:rPr>
          <w:b/>
        </w:rPr>
        <w:t>E. 3</w:t>
      </w:r>
    </w:p>
    <w:p>
      <w:r>
        <w:t>Dem Verfahrensausgang entsprechend wird der unterliegende Gesuchsteller kostenpflichtig ( Art. 66 Abs. 1 BGG ). Bei der Festsetzung der Gerichtskosten wird berücksichtigt, dass über das Revisionsgesuch in einem Verfahren mit drei Richterinnen bzw. Richter zu entscheiden ist (vgl. 2F_25/2020 vom 17. November 2020 E. 3).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