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2F_27/2020 vom 26. November 2020</w:t>
      </w:r>
    </w:p>
    <w:p>
      <w:r>
        <w:t>Bundesgericht, 2020-11-26, DE</w:t>
      </w:r>
    </w:p>
    <w:p>
      <w:r>
        <w:rPr>
          <w:b/>
        </w:rPr>
        <w:t xml:space="preserve">Quelle: </w:t>
      </w:r>
      <w:r>
        <w:t>https://mcp.opencaselaw.ch/entscheid/bger_2F_27_2020</w:t>
      </w:r>
    </w:p>
    <w:p>
      <w:r>
        <w:t>FR: TF 2F_27/2020 du 26 novembre 2020</w:t>
      </w:r>
    </w:p>
    <w:p>
      <w:r>
        <w:t>IT: TF 2F_27/2020 del 26 novembre 2020</w:t>
      </w:r>
    </w:p>
    <w:p>
      <w:pPr>
        <w:pStyle w:val="Heading2"/>
      </w:pPr>
      <w:r>
        <w:t>Erwägungen</w:t>
      </w:r>
    </w:p>
    <w:p>
      <w:r>
        <w:rPr>
          <w:b/>
        </w:rPr>
        <w:t>E. 1.1</w:t>
      </w:r>
    </w:p>
    <w:p>
      <w:r>
        <w:t>Was die Beschwerdeführerin mit ihrer Eingabe, die von mehreren Telefonanrufen an die Kanzlei der II. öffentlich-rechtlichen Abteilung begleitet war, genau zu bewirken beabsichtigt, bleibt im Dunkeln. Auch dieses Mal erschliessen die Anträge sich, wie schon die Rechtsbegehren in früheren Verfahren, nicht ohne Weiteres. Da der Schriftsatz vom 12. November 2020 unter dem Titel "Verwaltungsbeschwerde gemäss Art. 99 Abs. 2 RTVG / Art. 84 OG / Art. 49 VwVG " steht und das Urteil 2C_906/2020 vom 11. November 2020 zu diesem Zeitpunkt noch nicht eröffnet war, kommt als plausible Erklärung einzig infrage, dass es sich um ein Gesuch um Revision des Urteils 2C_851/2020 vom 27. Oktober 2020 handeln muss.</w:t>
      </w:r>
    </w:p>
    <w:p>
      <w:r>
        <w:rPr>
          <w:b/>
        </w:rPr>
        <w:t>E. 1.2</w:t>
      </w:r>
    </w:p>
    <w:p>
      <w:r>
        <w:t>Das Bundesgericht hat der Gesuchstellerin die Voraussetzungen der Revision, wie sie in Art. 121 ff. BGG niedergelegt sind, in den Urteilen 2F_5/2011 vom 10. Februar 2011 und 6F_17/2011 vom 12. Dezember 2011 aufgezeigt. Darauf kann verwiesen werden. Erforderlich ist insbesondere, dass eine Begründung vorgelegt wird, die den gesetzlichen Anforderungen genügt ( Art. 42 Abs. 1 und 2 BGG ) und überhaupt ein Revisionsgrund vorliegt. Beides liegt hier nicht vor: Weder stellt der Umstand, dass die Vorinstanz die als "Verwaltungsbeschwerde gemäss Art. 99 Abs. 2 RTVG / Art. 84 OG / Art. 49 VwVG " betitelte Eingabe vom 12. Oktober 2020 an das Bundesgericht weiterleitete, einen Revisionsgrund dar noch kann der Eingabe vom 12. November 2020 auch nur ansatzweise eine nachvollziehbare Erläuterung dessen entnommen werden, worum es der Gesuchstellerin mit ihrem Revisionsgesuch überhaupt geht. Abgesehen davon, sind ihr mit dem revisionsbetroffenen Urteil 2C_851/2020 vom 27. Oktober 2020 auch gar keine Rechtsnachteile erwachsen. Die Frage der Rechtmässigkeit des im vorinstanzlichen Verfahren erhobenen Kostenvorschusses wurde antragsgemäss im Verfahren 2C_906/2020 nochmals aufgenommen und abschliessend behandelt. Zudem hat das Bundesgericht im Verfahren 2C_851/2020 davon abgesehen, der Beschwerdeführerin Kosten aufzuerlegen.</w:t>
      </w:r>
    </w:p>
    <w:p>
      <w:r>
        <w:rPr>
          <w:b/>
        </w:rPr>
        <w:t>E. 1.3</w:t>
      </w:r>
    </w:p>
    <w:p>
      <w:r>
        <w:t>Die Eingabe ist weder als Beschwerde noch als Revisionsgesuch zulässig. Es ist darauf nicht einzutreten.</w:t>
      </w:r>
    </w:p>
    <w:p>
      <w:r>
        <w:rPr>
          <w:b/>
        </w:rPr>
        <w:t>E. 2</w:t>
      </w:r>
    </w:p>
    <w:p>
      <w:r>
        <w:t>Nach dem Unterliegerprinzip sind die Kosten des bundesgerichtlichen Verfahrens der unterliegenden Partei aufzuerlegen ( Art. 65 und Art. 66 Abs. 1 Satz 1 BGG ). Dem BAKOM, das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