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2F_23/2020 vom 17. November 2020</w:t>
      </w:r>
    </w:p>
    <w:p>
      <w:r>
        <w:t>Bundesgericht, 2020-11-17, FR</w:t>
      </w:r>
    </w:p>
    <w:p>
      <w:r>
        <w:rPr>
          <w:b/>
        </w:rPr>
        <w:t xml:space="preserve">Quelle: </w:t>
      </w:r>
      <w:r>
        <w:t>https://mcp.opencaselaw.ch/entscheid/bger_2F_23_2020</w:t>
      </w:r>
    </w:p>
    <w:p>
      <w:r>
        <w:t>FR: TF 2F_23/2020 du 17 novembre 2020</w:t>
      </w:r>
    </w:p>
    <w:p>
      <w:r>
        <w:t>IT: TF 2F_23/2020 del 17 novembre 2020</w:t>
      </w:r>
    </w:p>
    <w:p>
      <w:pPr>
        <w:pStyle w:val="Heading2"/>
      </w:pPr>
      <w:r>
        <w:t>Erwägungen</w:t>
      </w:r>
    </w:p>
    <w:p>
      <w:r>
        <w:rPr>
          <w:b/>
        </w:rPr>
        <w:t>E. 1</w:t>
      </w:r>
    </w:p>
    <w:p>
      <w:r>
        <w:t>Par arrêt 2C_460/2020 du 29 septembre 2020, le Tribunal fédéral a rejeté dans la mesure où il était recevable le recours que A.________ avait déposé contre l'arrêt du 4 mai 2020 du Tribunal cantonal du canton de Vaud; dans l'arrêt du 4 mai 2020, ladite autorité judiciaire rejetait également le recours de l'intéressé contre la décision du 16 décembre 2019 de la Cheffe du Département de la santé et de l'action sociale du canton de Vaud par laquelle celle-ci retirait définitivement l'autorisation de pratiquer la médecine à titre indépendant à l'intéressé.</w:t>
      </w:r>
    </w:p>
    <w:p>
      <w:r>
        <w:t>En date du 22 octobre 2020, A.________ dépose un recours, complété par un courrier du 27 octobre 2020, contre l'arrêt susmentionné rendu dans la cause 2C_460/2020. Il dénonce en substance une décision contenant uniquement des éléments "à charge" et invoque une violation de différents articles de la CEDH, du Code civil, du Code des obligations, du Code pénal, du Code de procédure pénale, de la Constitution, de la loi fédérale du 23 juin 2006 sur les professions médicales universitaires (loi sur les professions médicales, LPMéd; RS 811.11), de la loi vaudoise du 29 mai 1985 sur la santé publique (LSP; RS/VD 800.01) et de la loi sur le Tribunal fédéral.</w:t>
      </w:r>
    </w:p>
    <w:p>
      <w:r>
        <w:rPr>
          <w:b/>
        </w:rPr>
        <w:t>E. 2.1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et le mémoire de A.________ du 22 octobre 2020 sera traité comme une telle demande.</w:t>
      </w:r>
    </w:p>
    <w:p>
      <w:r>
        <w:t>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2F_13/2020 du 23 juillet 2020 consid. 3).</w:t>
      </w:r>
    </w:p>
    <w:p>
      <w:r>
        <w:rPr>
          <w:b/>
        </w:rPr>
        <w:t>E. 2.2</w:t>
      </w:r>
    </w:p>
    <w:p>
      <w:r>
        <w:t>En l'espèce, l'intéressé ne fonde sa demande de révision sur aucun des art. 121 à 123 LTF. Il ne ressort au demeurant pas de son écriture que les conditions posées par ces dispositions seraient réunies. La demande de révision n'est par conséquent pas suffisamment motivée au sens de l' art. 42 al. 2 LTF .</w:t>
      </w:r>
    </w:p>
    <w:p>
      <w:r>
        <w:rPr>
          <w:b/>
        </w:rPr>
        <w:t>E. 3</w:t>
      </w:r>
    </w:p>
    <w:p>
      <w:r>
        <w:t>Les considérants qui précèdent conduisent à l'irrecevabilité de la demande de révision de l'arrêt 2C_460/2020 rendu le 29 septembre 2020 par le Tribunal fédéral.</w:t>
      </w:r>
    </w:p>
    <w:p>
      <w:r>
        <w:t>Succombant, le requérant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