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2F_1/2021 vom 25. Mai 2021</w:t>
      </w:r>
    </w:p>
    <w:p>
      <w:r>
        <w:t>Bundesgericht, 2021-05-25, DE</w:t>
      </w:r>
    </w:p>
    <w:p>
      <w:r>
        <w:rPr>
          <w:b/>
        </w:rPr>
        <w:t xml:space="preserve">Quelle: </w:t>
      </w:r>
      <w:r>
        <w:t>https://mcp.opencaselaw.ch/entscheid/bger_2F_1_2021</w:t>
      </w:r>
    </w:p>
    <w:p>
      <w:r>
        <w:t>FR: TF 2F_1/2021 du 25 mai 2021</w:t>
      </w:r>
    </w:p>
    <w:p>
      <w:r>
        <w:t>IT: TF 2F_1/2021 del 25 maggio 2021</w:t>
      </w:r>
    </w:p>
    <w:p>
      <w:pPr>
        <w:pStyle w:val="Heading2"/>
      </w:pPr>
      <w:r>
        <w:t>Erwägungen</w:t>
      </w:r>
    </w:p>
    <w:p>
      <w:r>
        <w:rPr>
          <w:b/>
        </w:rPr>
        <w:t>E. 1</w:t>
      </w:r>
    </w:p>
    <w:p>
      <w:r>
        <w:t>Da Bundesrichter Seiler und Gerichtsschreiber Kocher im vorliegenden Verfahren nicht mitwirken, ist das Ausstandsbegehren gegen diese gegenstandslos.</w:t>
      </w:r>
    </w:p>
    <w:p>
      <w:r>
        <w:rPr>
          <w:b/>
        </w:rPr>
        <w:t>E. 2.1</w:t>
      </w:r>
    </w:p>
    <w:p>
      <w:r>
        <w:t>Die Gesuchstellerin ist der Auffassung, dass das Bundesgericht gegen sie fiktive Verfahren eröffnet habe, was zunächst im ersten Verfahren 2C_851/2020 erfolgt sei. Als sie dagegen Beschwerde bzw. Revision geführt habe, seien wiederum Bundesrichter Seiler sowie Gerichtsschreiber Kocher am Entscheid beteiligt gewesen (2F_27/2020), was nach Art. 34 BGG unzulässig sei. Die Ausstandsvorschriften seien damit verletzt worden. Entsprechend Art. 38 BGG seien Amtshandlungen, an denen eine zum Ausstand verpflichtete Person mitgewirkt habe, aufzuheben, sofern dies eine Partei innert fünf Tagen verlangte, nachdem sie vom Ausstandsgrund Kenntnis erhalten habe, was sie mit ihrer Eingabe nun verlange.</w:t>
      </w:r>
    </w:p>
    <w:p>
      <w:r>
        <w:rPr>
          <w:b/>
        </w:rPr>
        <w:t>E. 2.2</w:t>
      </w:r>
    </w:p>
    <w:p>
      <w:r>
        <w:t>Art. 38 BGG ist anwendbar, wenn der Ausstandsgrund während des Verfahrens entdeckt worden ist. Wird er dagegen erst nach Abschluss des Verfahrens entdeckt, so gelten - wie Art. 38 Abs. 3 BGG ausdrücklich festhält - die Bestimmungen über die Revision. Nach Art. 121 lit. a BGG kann die Revision eines Entscheids des Bundesgerichts verlangt werden, wenn die Vorschriften über die Besetzung des Gerichts oder über den Ausstand verletzt worden sind.</w:t>
      </w:r>
    </w:p>
    <w:p>
      <w:r>
        <w:rPr>
          <w:b/>
        </w:rPr>
        <w:t>E. 2.3</w:t>
      </w:r>
    </w:p>
    <w:p>
      <w:r>
        <w:t>Die Gesuchstellerin vertritt die Auffassung, dass Bundesrichter und Gerichtsschreiber nicht mehr objektiv über ihre eigenen Urteile in einem nachfolgenden Revisionsverfahren richten können, weshalb sie in den Ausstand zu treten hätten. Zudem könne in der Sache auch ein persönliches Interesse der Gerichtspersonen (SVP Parteizugehörigkeit des Richters; Zufügen von Schaden an ausländischer "Beschwerdeführerin") gegeben sein.</w:t>
      </w:r>
    </w:p>
    <w:p>
      <w:r>
        <w:t>Dass der Präsident und der genannte Gerichtsschreiber bereits im Verfahren 2C_851/2020 mitgewirkt haben, bildet für sich allein keinen Ausstandsgrund ( Art. 34 Abs. 2 BGG ). Mit dem Hinweis, dass der Präsident der SVP angehöre und deshalb schwache ausländische Frauen schädigen würde, vermag die Gesuchstellerin nicht rechtsgenüglich zu begründen (vgl. Urteil 4F_16/2018 vom 31. August 2018 E. 1.1), dass der Präsident und der Gerichtsschreiber ein persönliches Interesse in der Sache hätten noch aus irgendwelchen anderen Gründen in der Sache befangen seien. Weitere Gründe sind nicht ersichtlich. Das Revisionsgesuch mit dem Revisionsgrund nach Art. 121 lit. a BGG ist insofern offensichtlich unbegründet.</w:t>
      </w:r>
    </w:p>
    <w:p>
      <w:r>
        <w:rPr>
          <w:b/>
        </w:rPr>
        <w:t>E. 2.4</w:t>
      </w:r>
    </w:p>
    <w:p>
      <w:r>
        <w:t>Da ein Neuentscheid im Verfahren 2F_27/2020 nur dann möglich ist, wenn ein Revisionsgrund vorliegt (vgl. Art. 128 Abs. 1 BGG ), sind die Ausführungen zum erwähnten Verfahren hier unbeachtlich.</w:t>
      </w:r>
    </w:p>
    <w:p>
      <w:r>
        <w:t>Als Hinweis möge hier trotzdem Folgendes genügen: Die Gesuchstellerin hat alle Eingaben an die Gerichte mit Ausnahme der letzten Eingabe jeweils als Beschwerde bezeichnet. Hat - wie im vorliegenden Fall - die Gesuchstellerin eine</w:t>
      </w:r>
    </w:p>
    <w:p>
      <w:r>
        <w:t>Beschwerde gegen einen Entscheid des Bundesverwaltungsgerichts erhoben, so ist dieses für deren Beurteilung nie zuständig, auch wenn die Beschwerde dort eingereicht wurde. Das Bundesverwaltungsgericht ist nach Art. 8 Abs. 1 VwVG verpflichtet, die Sache an die zuständige Behörde zu überweisen, was im konkreten Fall das Bundesgericht war. Insofern kann keine Rede von fiktiven Verfahren sein. Die Gesuchstellerin hat jedes einzelne Beschwerdeverfahren selber ausgelöst.</w:t>
      </w:r>
    </w:p>
    <w:p>
      <w:r>
        <w:rPr>
          <w:b/>
        </w:rPr>
        <w:t>E. 3</w:t>
      </w:r>
    </w:p>
    <w:p>
      <w:r>
        <w:t>Das Gesuch um unentgeltliche Rechtspflege (Kostenerlass) ist infolge Aussichtslosigkeit der Begehren abzuweisen ( Art. 64 BGG ), weshalb dementsprechend die Gesuchstellerin kostenpflichtig ist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