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2F_1/2020 vom 5. Februar 2020</w:t>
      </w:r>
    </w:p>
    <w:p>
      <w:r>
        <w:t>Bundesgericht, 2020-02-05, DE</w:t>
      </w:r>
    </w:p>
    <w:p>
      <w:r>
        <w:rPr>
          <w:b/>
        </w:rPr>
        <w:t xml:space="preserve">Quelle: </w:t>
      </w:r>
      <w:r>
        <w:t>https://mcp.opencaselaw.ch/entscheid/bger_2F_1_2020</w:t>
      </w:r>
    </w:p>
    <w:p>
      <w:r>
        <w:t>FR: TF 2F_1/2020 du 5 février 2020</w:t>
      </w:r>
    </w:p>
    <w:p>
      <w:r>
        <w:t>IT: TF 2F_1/2020 del 5 febbraio 2020</w:t>
      </w:r>
    </w:p>
    <w:p>
      <w:pPr>
        <w:pStyle w:val="Heading2"/>
      </w:pPr>
      <w:r>
        <w:t>Erwägungen</w:t>
      </w:r>
    </w:p>
    <w:p>
      <w:r>
        <w:rPr>
          <w:b/>
        </w:rPr>
        <w:t>E. 1.1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des amtlichen Anwalts verwendet werden kann (Urteile 1F_6/2018 vom 27. Februar 2018 E. 1 und 1F_17/2012 vom 5. September 2012 E. 1 mit weiteren Hinweisen). Die Eingabe ist als solches Gesuch entgegenzunehmen.</w:t>
      </w:r>
    </w:p>
    <w:p>
      <w:r>
        <w:rPr>
          <w:b/>
        </w:rPr>
        <w:t>E. 1.2</w:t>
      </w:r>
    </w:p>
    <w:p>
      <w:r>
        <w:t>Rechtsanwalt Dr. B.________ hatte bereits im Hauptverfahren ein Gesuch um unentgeltliche Rechtspflege und Verbeiständung gestellt. Die einschlägigen Voraussetzungen (vgl. Art. 64 Abs. 1 und Abs. 2 BGG ) waren damals erfüllt. Das Bundesgericht ging allerdings davon aus, dass der Anwalt der unentgeltlich verbeiständeten Partei aus der zugesprochenen Parteientschädigung bezahlt werden würde.</w:t>
      </w:r>
    </w:p>
    <w:p>
      <w:r>
        <w:rPr>
          <w:b/>
        </w:rPr>
        <w:t>E. 2.1</w:t>
      </w:r>
    </w:p>
    <w:p>
      <w:r>
        <w:t>Gemäss Art. 64 Abs. 2 Satz 2 BGG steht dem Anwalt ein Anspruch auf eine angemessene Entschädigung aus der Gerichtskasse zu, soweit der Aufwand für die Vertretung nicht aus der zugesprochenen Parteientschädigung gedeckt werden kann. Dies ist nicht nur der Fall, wenn sich die Parteientschädigung als uneinbringlich erweist, sondern auch dann, wenn die Gegenpartei die von ihr geschuldete Parteientschädigung mit eigenen Forderungen gegen die unentgeltlich verbeiständete Partei verrechnet. In beiden Fällen hat der Anwalt der bedürftigen Partei kein Honorar erhalten, weshalb sein Anspruch gegenüber der Gerichtskasse bestehen bleibt. Wurde die Entschädigung wie im zu beurteilenden Fall bereits im Hauptverfahren festgesetzt, kann der Anwalt deren Auszahlung beantragen (Urteile 1F_17/2012 vom 5. September 2012 E. 1 und 1F_7/ 2012 vom 4. April 2012 E. 1).</w:t>
      </w:r>
    </w:p>
    <w:p>
      <w:r>
        <w:rPr>
          <w:b/>
        </w:rPr>
        <w:t>E. 2.2</w:t>
      </w:r>
    </w:p>
    <w:p>
      <w:r>
        <w:t>Nach dem Gesagten ist das Gesuch um unentgeltliche Verbeiständung gutzuheissen. Der Gesuchsteller ist für das Hauptverfahren mit Fr. 1'200.-- aus der Bundesgerichtskasse zu entschädigen. Da Rechtsanwalt Dr. B.________ für das vorliegende Verfahren kein nennenswerter Aufwand entstanden ist, rechtfertigt es sich nicht, ihm eine zusätzliche Entschädigung zuzusprechen.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