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2F_14/2022 vom 27. April 2022</w:t>
      </w:r>
    </w:p>
    <w:p>
      <w:r>
        <w:t>Bundesgericht, 2022-04-27, FR</w:t>
      </w:r>
    </w:p>
    <w:p>
      <w:r>
        <w:rPr>
          <w:b/>
        </w:rPr>
        <w:t xml:space="preserve">Quelle: </w:t>
      </w:r>
      <w:r>
        <w:t>https://mcp.opencaselaw.ch/entscheid/bger_2F_14_2022</w:t>
      </w:r>
    </w:p>
    <w:p>
      <w:r>
        <w:t>FR: TF 2F_14/2022 du 27 avril 2022</w:t>
      </w:r>
    </w:p>
    <w:p>
      <w:r>
        <w:t>IT: TF 2F_14/2022 del 27 aprile 2022</w:t>
      </w:r>
    </w:p>
    <w:p>
      <w:pPr>
        <w:pStyle w:val="Heading2"/>
      </w:pPr>
      <w:r>
        <w:t>Erwägungen</w:t>
      </w:r>
    </w:p>
    <w:p>
      <w:r>
        <w:rPr>
          <w:b/>
        </w:rPr>
        <w:t>E. 1</w:t>
      </w:r>
    </w:p>
    <w:p>
      <w:r>
        <w:t>En vertu de l' art. 61 LTF , les arrêts du Tribunal fédéral acquièrent force de chose jugée le jour où ils sont prononcés. Ils sont définitifs et ne peuvent faire l'objet d'un recours ordinaire sur le plan interne. Ils ne peuvent être modifiés que par la voie extraordinaire de la révision ( art. 121 ss LTF ).</w:t>
      </w:r>
    </w:p>
    <w:p>
      <w:r>
        <w:t>Fondée sur l' art. 121 let . d LTF, la présente demande de révision a été déposée dans le délai de 90 jours prévu à l' art. 124 al. 1 let . d LTF. Le mémoire répond par ailleurs aux exigences de motivation découlant de l' art. 42 al. 1 et 2 LTF , applicable à la procédure de révision (arrêts 2F_31/2020 du 8 décembre 2021 consid. 1.1; arrêts 2F_21/2020 du 15 octobre 2020 consid. 1.1). La requête remplit donc les conditions formelles découlant de ces dispositions.</w:t>
      </w:r>
    </w:p>
    <w:p>
      <w:r>
        <w:rPr>
          <w:b/>
        </w:rPr>
        <w:t>E. 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2F_3/2020 du 24 juin 2020 consid. 2.2 et les références). L'inadvertance doit, en outre, porter sur un fait pertinent, c'est-à-dire susceptible d'entraîner une décision différente, plus favorable à la partie requérante (cf. ATF 122 II 17 consid. 3; arrêt 2F_21/2021 du 27 juillet 2021 consid. 2).</w:t>
      </w:r>
    </w:p>
    <w:p>
      <w:r>
        <w:t>Pour être fondé, le reproche d'inadvertance suppose encore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(arrêts 2F_21/2021 du 27 juillet 2021 consid. 2; 2F_21/2019 du 7 février 2020 consid. 2).</w:t>
      </w:r>
    </w:p>
    <w:p>
      <w:r>
        <w:rPr>
          <w:b/>
        </w:rPr>
        <w:t>E. 3</w:t>
      </w:r>
    </w:p>
    <w:p>
      <w:r>
        <w:t>La requérante reproche au Tribunal fédéral de ne pas avoir compris que la date à laquelle la violation de son domicile avait eu lieu était le 10 mai 2021, ce qui ressortirait pourtant clairement de sa demande de restitution du délai de recours adressée le 20 mai 2021 au Tribunal cantonal. Ce serait également à tort que le Tribunal fédéral a retenu qu'elle n'avait pas étayé ses allégations relatives à la violation de domicile subie, car il lui serait matériellement impossible de prouver qu'un rapport de police a été établi suite à ladite violation. La requérante estime enfin que, comme le délai pour déposer une plainte pour violation de domicile est de trois mois, le Tribunal fédéral ne peut lui reprocher de ne pas avoir procéder immédiatement.</w:t>
      </w:r>
    </w:p>
    <w:p>
      <w:r>
        <w:rPr>
          <w:b/>
        </w:rPr>
        <w:t>E. 3.1</w:t>
      </w:r>
    </w:p>
    <w:p>
      <w:r>
        <w:t>Dans son arrêt faisant l'objet de la présente demande de révision, le Tribunal fédéral a cité le passage pertinent de la demande de restitution de délai de l'intéressée du 20 mai 2021, puis a jugé que la formulation dudit passage était vague et que la date à laquelle la violation de domicile aurait eu lieu ne pouvait être établie avec certitude (arrêt 2C_684/2021 du 26 janvier 2022 consid. 5.2). La Cour de céans a également relevé que l'intéressée n'avait jamais étayé ses allégations relatives à la violation de domicile prétendument subie, ni renseigné le Tribunal cantonal sur celle-ci, pas plus qu'elle n'avait fourni de moyens de preuve à son propos (arrêt 2C_684/2021 du 26 janvier 2022 consid. 4.2). Le Tribunal fédéral a en outre précisé qu'on ne saurait reprocher au Tribunal cantonal d'avoir insuffisamment instruit la cause dans la mesure où l'intéressée, qui était tenue de collaborer à l'établissement des faits, n'avait versé aucune pièce au dossier alors qu'elle était la mieux placée pour étayer les événements qu'elle allèguait avoir vécus (arrêt 2C_684/2021 du 26 janvier 2022 consid. 4.2). Elle ne fournissait d'ailleurs aucune explication quant au fait qu'aucun rapport d'intervention de la police suite à la violation de domicile invoquée n'avait été produit ni quant aux raisons pour lesquelles elle n'avait pas immédiatement déposé une plainte pénale (arrêt 2C_684/2021 du 26 janvier 2022 consid. 4.2).</w:t>
      </w:r>
    </w:p>
    <w:p>
      <w:r>
        <w:rPr>
          <w:b/>
        </w:rPr>
        <w:t>E. 3.2</w:t>
      </w:r>
    </w:p>
    <w:p>
      <w:r>
        <w:t>Il en découle que le Tribunal fédéral a examiné l'existence de tous les faits mentionnés par la requérante, y compris la violation de domicile alléguée dans sa demande de restitution de délai du 20 mai 2021. Contrairement à ce que prétend l'intéressée, le Tribunal fédéral n'a pas formulé de reproche à la requérante quant au caractère tardif de sa plainte pénale ou à l'absence de rapport d'intervention policière suite à la violation de domicile subie; il a simplement relevé que l'intéressée n'avait fourni aucune pièce ni explications pour étayer son allégation de violation de domicile, alors qu'elle était tenue de collaborer à l'établissement des faits. Ainsi, sous couvert d'inadvertance du Tribunal fédéral quant à la prise en considération d'éléments de faits et de preuves pertinents, la requérante tente de remettre en cause de manière inadmissible la façon dont le Tribunal fédéral a apprécié le contenu de sa demande de restitution de délai du 20 mai 2021 et son devoir de collaboration. Ce faisant, elle critique en réalité l'appréciation juridique de ses allégations par le Tribunal fédéral dans son arrêt 2C_684/2021, ce qui démontre que c'est en définitive l'application du droit dont elle se plaint. Or, la voie de la révision n'est pas destinée à ouvrir un nouveau débat sur l'arrêt au fond et elle ne saurait être utilisée aux fins de remettre en question la solution juridique adoptée par le Tribunal fédéral (cf. arrêt 2F_21/2020 du 15 octobre 2020 consid. 2.3), contrairement à ce que la requérante tente de faire tout au long de sa requête.</w:t>
      </w:r>
    </w:p>
    <w:p>
      <w:r>
        <w:rPr>
          <w:b/>
        </w:rPr>
        <w:t>E. 3.3</w:t>
      </w:r>
    </w:p>
    <w:p>
      <w:r>
        <w:t>Il résulte de ce qui précède que le motif de révision envisagé à l' art. 121 let . d LTF et avancé par la requérante dans sa demande n'est pas réalisé, car le Tribunal fédéral n'a pas commis d'inadvertance s'agissant des faits pertinents dans son arrêt 2C_684/2021.</w:t>
      </w:r>
    </w:p>
    <w:p>
      <w:r>
        <w:rPr>
          <w:b/>
        </w:rPr>
        <w:t>E. 4</w:t>
      </w:r>
    </w:p>
    <w:p>
      <w:r>
        <w:t>Il s'ensuit que la demande de révision doit être rejetée.</w:t>
      </w:r>
    </w:p>
    <w:p>
      <w:r>
        <w:t>Sur la base de ce qui vient d'être exposé, il apparaît que la demande de révision était d'emblée vouée à l'échec. Dans ces conditions, en vertu de l' art. 64 al. 1 LTF , la demande d'assistance judiciaire doit être rejetée. La requérante, qui succombe, doit donc supporter les frais judiciaires ( art. 66 al. 1 LTF ), qui seront toutefois réduits eu égard à sa situation économique.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