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 12/2007 vom 6. November 2007</w:t>
      </w:r>
    </w:p>
    <w:p>
      <w:r>
        <w:t>Bundesgericht, 2007-11-06, DE</w:t>
      </w:r>
    </w:p>
    <w:p>
      <w:r>
        <w:rPr>
          <w:b/>
        </w:rPr>
        <w:t xml:space="preserve">Quelle: </w:t>
      </w:r>
      <w:r>
        <w:t>https://mcp.opencaselaw.ch/entscheid/bger_2F_12_2007</w:t>
      </w:r>
    </w:p>
    <w:p>
      <w:r>
        <w:t>FR: TF 2F 12/2007 du 6 novembre 2007</w:t>
      </w:r>
    </w:p>
    <w:p>
      <w:r>
        <w:t>IT: TF 2F 12/2007 del 6 novembre 2007</w:t>
      </w:r>
    </w:p>
    <w:p>
      <w:pPr>
        <w:pStyle w:val="Heading2"/>
      </w:pPr>
      <w:r>
        <w:t>Regeste</w:t>
      </w:r>
    </w:p>
    <w:p>
      <w:r>
        <w:t>Revision des bundesgerichtlichen Urteils vom 8. August 2007 (2A.506/2006) | Öffentliche Finanzen &amp; Abgaberecht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zufolge Rückzugs der Beschwerde abgeschrieben.</w:t>
      </w:r>
    </w:p>
    <w:p>
      <w:r>
        <w:rPr>
          <w:b/>
        </w:rPr>
        <w:t>E. 2</w:t>
      </w:r>
    </w:p>
    <w:p>
      <w:r>
        <w:t>Die Gerichtsgebühr von Fr. 200.-- wird dem Beschwerdeführer auferlegt.</w:t>
      </w:r>
    </w:p>
    <w:p>
      <w:r>
        <w:rPr>
          <w:b/>
        </w:rPr>
        <w:t>E. 3</w:t>
      </w:r>
    </w:p>
    <w:p>
      <w:r>
        <w:t>Dieses Urteil wird den Parteien, dem Verwaltungsgericht des Kantons Nidwalden, Steuerabteilung, und der Eidgenössischen Steuerverwaltung schriftlich mitgeteilt. Lausanne, 6. November 2007 Im Namen der II. öffentlich-rechtlichen Abteilung des Schweizerischen Bundesgerichts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