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2E_3/2021 vom 14. März 2022</w:t>
      </w:r>
    </w:p>
    <w:p>
      <w:r>
        <w:t>Bundesgericht, 2022-03-14, DE</w:t>
      </w:r>
    </w:p>
    <w:p>
      <w:r>
        <w:rPr>
          <w:b/>
        </w:rPr>
        <w:t xml:space="preserve">Quelle: </w:t>
      </w:r>
      <w:r>
        <w:t>https://mcp.opencaselaw.ch/entscheid/bger_2E_3_2021</w:t>
      </w:r>
    </w:p>
    <w:p>
      <w:r>
        <w:t>FR: TF 2E_3/2021 du 14 mars 2022</w:t>
      </w:r>
    </w:p>
    <w:p>
      <w:r>
        <w:t>IT: TF 2E_3/2021 del 14 marzo 2022</w:t>
      </w:r>
    </w:p>
    <w:p>
      <w:pPr>
        <w:pStyle w:val="Heading2"/>
      </w:pPr>
      <w:r>
        <w:t>Erwägungen</w:t>
      </w:r>
    </w:p>
    <w:p>
      <w:r>
        <w:rPr>
          <w:b/>
        </w:rPr>
        <w:t>E. 1.1</w:t>
      </w:r>
    </w:p>
    <w:p>
      <w:r>
        <w:t>Dem Bundesgericht liegt eine gegen die Schweizerische Eidgenossenschaft gerichtete Klage im Sinne von Art. 120 Abs. 1 lit. c BGG zur Beurteilung vor.</w:t>
      </w:r>
    </w:p>
    <w:p>
      <w:r>
        <w:rPr>
          <w:b/>
        </w:rPr>
        <w:t>E. 1.2.1</w:t>
      </w:r>
    </w:p>
    <w:p>
      <w:r>
        <w:t>Nach Art. 120 Abs. 1 lit. c BGG ist das Bundesgericht als einzige Instanz zuständig zur Beurteilung von Ansprüchen auf Schadenersatz und Genugtuung aus der Amtstätigkeit der in Art. 1 Abs. 1 lit. a-c</w:t>
      </w:r>
    </w:p>
    <w:p>
      <w:r>
        <w:t>bis VG</w:t>
      </w:r>
    </w:p>
    <w:p>
      <w:r>
        <w:t>abschliessend aufgezählten Personen. Bei diesen Personen handelt es sich um die Mitglieder des Bundesrates und den Bundeskanzler (lit. b), die Mitglieder und Ersatzmitglieder der eidgenössischen Gerichte (lit. c) und die Mitglieder der Aufsichtsbehörde über die Bundesanwaltschaft (lit. c</w:t>
      </w:r>
    </w:p>
    <w:p>
      <w:r>
        <w:t>bis ). Das Reglement vom 20. November 2006 für das Bundesgericht (BGerR; SR 173.110.131) weist die Behandlung von Klagen im Sinne von Art. 120 Abs. 1 lit. c BGG der II. öffentlich-rechtlichen Abteilung zu ( Art. 30 Abs. 3 BGerR ).</w:t>
      </w:r>
    </w:p>
    <w:p>
      <w:r>
        <w:t>Richtet sich der Staatshaftungsanspruch zwar gegen den Bund, nicht aber gegen die in Art. 1 Abs. 1 lit. a-c</w:t>
      </w:r>
    </w:p>
    <w:p>
      <w:r>
        <w:t>bis VG abschliessend genannten Personen, hat zuerst die zuständige Behörde eine Verfügung zu erlassen. Das Beschwerdeverfahren richtet sich dann nach den allgemeinen Bestimmungen über die Bundesrechtspflege ( Art. 10 Abs. 1 VG ). Dies bedeutet, dass Verfügungen über streitige Staatshaftungsansprüche der Beschwerde an das Bundesverwaltungsgericht unterliegen (vgl. Art. 31-33 VGG [SR 173.32]).</w:t>
      </w:r>
    </w:p>
    <w:p>
      <w:r>
        <w:rPr>
          <w:b/>
        </w:rPr>
        <w:t>E. 1.2.2</w:t>
      </w:r>
    </w:p>
    <w:p>
      <w:r>
        <w:t>Die vorliegende Klage gründet auf angeblich widerrechtlichem Verhalten der Vorsteherin des VBS und somit eines Mitglieds des Bundesrats zum Nachteil der Kläger. Die Klage ist in diesem Umfang zulässig.</w:t>
      </w:r>
    </w:p>
    <w:p>
      <w:r>
        <w:t>Unzulässig ist die Klage, soweit sich die Staatshaftungsansprüche gegen weitere Personen bzw. Angestellte des Bundes richten, so namentlich gegen die Korpskommandanten G.________ (ehemaliger Chef der Armee) und H.________ (Kommandant Ausbildung, Schweizer Armee, Projektleiter), Matthias Remund (Direktor des BASPO), I.________, J.________ (Chef Medienbeziehungen, Gruppe Verteidigung), K.________, Oberst im Generalstaab L.________, Hauptmann M.________, N.________, O.________ sowie P.________. Diesbezüglich ist festzuhalten, dass die Kläger darauf verzichtet haben, die Verfügung des EFD vom 22. September 2021, mit welcher ihre Schadenersatz- und Genugtuungsbegehren gegen Bundesangestellte abgewiesen wurden, beim Bundesverwaltungsgericht anzufechten, wie dies in der unmissverständlichen Rechtsmittelbelehrung dieser Verfügung angegeben war.</w:t>
      </w:r>
    </w:p>
    <w:p>
      <w:r>
        <w:t>Folglich ist die Verfügung des EDF vom 22. September 2021 in Rechtskraft erwachsen und kann im Rahmen des vorliegenden Klageverfahrens nicht mehr infrage gestellt werden.</w:t>
      </w:r>
    </w:p>
    <w:p>
      <w:r>
        <w:rPr>
          <w:b/>
        </w:rPr>
        <w:t>E. 1.3</w:t>
      </w:r>
    </w:p>
    <w:p>
      <w:r>
        <w:t>Das Verfahren der Klage im Sinne von Art. 120 BGG richtet sich gemäss Art. 120 Abs. 3 BGG nach dem BZP (vgl. Urteile 2E_4/2019 vom 28. Oktober 2021 E. 1.3.1; 2E_1/2010 / 2E_2/2010 vom 5. Januar 2011 E. 2). Dieses Gesetz wird seinerseits ergänzt durch die Vorschriften des ersten, zweiten und sechsten Kapitels des BGG, soweit seine eigenen Bestimmungen nichts Abweichendes enthalten ( Art. 1 Abs. 2 BZP ). Dementsprechend herrscht auch im Verfahren nach Art. 120 BGG die Dispositionsmaxime bzw. "Verhandlungsmaxime" ( Art. 3 Abs. 2 BZP ; HANSJÖRG SEILER, in: Hansjörg Seiler/Nicolas von Werdt/Andreas Güngerich/Niklaus Oberholzer, Bundesgerichtsgesetz, 2. Aufl. 2015, N. 38 zu Art. 120 BGG ). Die Parteien haben ein klar umrissenes Rechtsbegehren zu stellen und die auf Geldleistung lautende Forderung frankenmässig zu beziffern ( Art. 42 Abs. 2 BGG ; BGE 143 III 111 E. 1.2; 134 III 235 E. 2).</w:t>
      </w:r>
    </w:p>
    <w:p>
      <w:r>
        <w:rPr>
          <w:b/>
        </w:rPr>
        <w:t>E. 1.4</w:t>
      </w:r>
    </w:p>
    <w:p>
      <w:r>
        <w:t>Die Kläger beziffern die Geldforderung ausreichend. Da auch die gesetzlichen Fristen ( Art. 20 Abs. 1 und Abs. 3 VG ) gewahrt wurden, ist auf die Klage einzutreten.</w:t>
      </w:r>
    </w:p>
    <w:p>
      <w:r>
        <w:rPr>
          <w:b/>
        </w:rPr>
        <w:t>E. 2</w:t>
      </w:r>
    </w:p>
    <w:p>
      <w:r>
        <w:t>Das Bundesgericht entscheidet in der vorliegenden Streitsache als erste und einzige Behörde (Art. 120 ff. in Verbindung mit Art. 61 BGG ).</w:t>
      </w:r>
    </w:p>
    <w:p>
      <w:r>
        <w:rPr>
          <w:b/>
        </w:rPr>
        <w:t>E. 2.1</w:t>
      </w:r>
    </w:p>
    <w:p>
      <w:r>
        <w:t>Das Bundesgericht verfügt im Klageverfahren nach Art. 120 BGG sowohl in rechtlicher als auch in tatsächlicher Hinsicht über volle (uneingeschränkte) Kognition ( BGE 131 I 266 E. 2.3 ; 129 I 419 E. 1; ALAIN WURZBURGER, in: Bernard Corboz/Alain Wurzburger/Pierre Ferrari/Jean-Maurice Frésard/Florence Aubry Girardin [Hrsg.], Commentaire de la LTF, 2. Aufl. 2014 [nachfolgend: Commentaire LTF], N. 18 zu Art. 120 BGG ; SEILER, a.a.O., N. 10 zu Art. 120 BGG ).</w:t>
      </w:r>
    </w:p>
    <w:p>
      <w:r>
        <w:rPr>
          <w:b/>
        </w:rPr>
        <w:t>E. 2.2</w:t>
      </w:r>
    </w:p>
    <w:p>
      <w:r>
        <w:t>Begehren um Schadenersatz und Genugtuung im Staatshaftungsverfahren fallen unter die zivilrechtlichen Ansprüche und Verpflichtungen im Sinne von Art. 6 Ziff. 1 EMRK ( BGE 136 II 187 E. 8.2.1 ; 134 I 331 E. 2.1; Urteile 2E_1/2018 vom 25. Oktober 2019 E. 2.2.1; 2E_2/2013 vom 30. Oktober 2014 E. 4.1; 2C_84/2012 vom 15. Dezember 2012 E. 3.1, nicht publ. in: BGE 139 IV 137 ; Urteile [des EGMR]</w:t>
      </w:r>
    </w:p>
    <w:p>
      <w:r>
        <w:t>Herbst gegen Deutschland vom 11. Januar 2007 [20027/02] § 55;</w:t>
      </w:r>
    </w:p>
    <w:p>
      <w:r>
        <w:t>Georgiadis gegen Griechenland vom 29. Mai 1997 [21522/93] § 35). Es ist darüber aufgrund einer öffentlichen Verhandlung zu entscheiden, sofern die Parteien nicht ausdrücklich oder stillschweigend darauf verzichten ( BGE 134 I 331 E. 2.1). Ist das Bundesgericht einzige Gerichtsinstanz, finden diesfalls die Bestimmungen des BZP über die mündliche Vorbereitungsverhandlung und die Hauptverhandlung (Art. 34 f. und Art. 66 ff. BZP in Verbindung mit Art. 71 BGG ) sinngemässe Anwendung.</w:t>
      </w:r>
    </w:p>
    <w:p>
      <w:r>
        <w:rPr>
          <w:b/>
        </w:rPr>
        <w:t>E. 2.3</w:t>
      </w:r>
    </w:p>
    <w:p>
      <w:r>
        <w:t>Der Europäische Gerichtshof für Menschenrechte (EGMR) wendet Art. 6 EMRK in Bezug auf den Anspruch auf Durchführung einer öffentlichen Verhandlung flexibel an und prüft, ob nach den Umständen eine solche notwendig war (vgl. Urteil [des EGMR]</w:t>
      </w:r>
    </w:p>
    <w:p>
      <w:r>
        <w:t>Varela Assalino gegen Portugal vom 25. April 2002 [64336/01]; vgl. auch MEYER-LADEWIG/HARRENDORF/KÖNIG, in: Meyer-Ladewig et al. [Hrsg.], EMRK, Handkommentar, 4. Aufl. 2017, N. 172 zu Art. 6 EMRK ). Auf die Durchführung einer öffentlichen Verhandlung kann unter Umständen verzichtet werden, wenn eine Verhandlung nichts zur Klärung der Streitsache beiträgt, namentlich wenn keine Tatfragen, sondern reine Rechts- oder Zulässigkeitsfragen bzw. rein technische Fragen umstritten sind (vgl. BGE 124 I 322 E. 4a, mit Hinweisen; Urteil 2E_1/2018 vom 25. Oktober 2019 E. 2.2.2; Urteile [des EGMR]</w:t>
      </w:r>
    </w:p>
    <w:p>
      <w:r>
        <w:t>Selmani u.a. gegen die ehemalige jugoslawische Republik Mazedonien vom 9. Februar 2017 [67259/14] § 40;</w:t>
      </w:r>
    </w:p>
    <w:p>
      <w:r>
        <w:t>Varela Assalino gegen Portugal vom 25. April 2002 [64336/01];</w:t>
      </w:r>
    </w:p>
    <w:p>
      <w:r>
        <w:t>Ramos Nunes de Carvalho e S á gegen Portugal vom 21. Juni 2016 [55391/13, 57728/13 und 74041/13] § 95; vgl. auch OLIVIER BIGLER, in: Luc Gonin/Olivier Bigler [Hrsg.], CEDH, Kommentar, 2018, N. 193 zu Art. 6 EMRK ). Insbesondere werden Aspekte der Wirtschaftlichkeit, Effektivität und Verfahrensbeschleunigung vom Gerichtshof akzeptiert (vgl. Urteile [des EGMR] S</w:t>
      </w:r>
    </w:p>
    <w:p>
      <w:r>
        <w:t>chuler-Zgraggen gegen die Schweiz vom 24. Juni 1993 [14518/89] § 58;</w:t>
      </w:r>
    </w:p>
    <w:p>
      <w:r>
        <w:t>Varela Assalino gegen Portugal vom 25. April 2002 [64336/01]; vgl. auch FRANK MEYER, in: Karpenstein/Mayer [Hrsg.], Konvention zum Schutz der Menschenrechte und Grundfreiheiten, Kommentar, 2. Aufl. 2015, N. 65 zu Art. 6 EMRK ).</w:t>
      </w:r>
    </w:p>
    <w:p>
      <w:r>
        <w:t>Schliesslich kann nach der bundesgerichtlichen Praxis auf die Durchführung einer öffentlichen Verhandlung verzichtet werden, wenn sich auch ohne solche prozessualen Handlungen bereits mit hinreichender Zuverlässigkeit erkennen lässt, dass eine Rechtsvorkehr offensichtlich unbegründet oder unzulässig, mithin aussichtslos ist (vgl. BGE 136 I 279 E. 1 ; 134 I 331 E. 2.1; 122 V 47 E. 3b/dd; Urteile 2E_1/2018 vom 25. Oktober 2019 E. 2.2.2; 2E_2/2016 vom 23. Juni 2016 E. 2; 2E_1/2013 vom 4. September 2014 E. 2).</w:t>
      </w:r>
    </w:p>
    <w:p>
      <w:r>
        <w:rPr>
          <w:b/>
        </w:rPr>
        <w:t>E. 2.4</w:t>
      </w:r>
    </w:p>
    <w:p>
      <w:r>
        <w:t>Das vorliegende Verfahren kann, wie zu zeigen sein wird, auf die Frage der Widerrechtlichkeit und somit auf eine reine Rechtsfrage beschränkt werden, zu deren Klärung eine öffentliche Verhandlung nichts beitragen würde. Vor allem aber ist die vorliegende Klage, wie ebenfalls im Folgenden ausgeführt wird, offensichtlich unbegründet und mithin aussichtslos. Mit Blick auf die dargelegte Praxis (vgl. E. 2.3 hiervor) kann auf die Durchführung einer öffentlichen Verhandlung verzichtet werden.</w:t>
      </w:r>
    </w:p>
    <w:p>
      <w:r>
        <w:rPr>
          <w:b/>
        </w:rPr>
        <w:t>E. 3</w:t>
      </w:r>
    </w:p>
    <w:p>
      <w:r>
        <w:t>Die Kläger haben am 5. Januar 2022 ein Ausstandsgesuch gegen den ehemaligen Abteilungspräsidenten, alt Bundesrichter Seiler, gestellt. Sie verlangen die Aufhebung von Amtshandlungen, an denen dieser mitgewirkt hat ( Art. 38 Abs. 1 BGG ), namentlich der Präsidialverfügung vom 22. Dezember 2021 und des Verfahrens 2C_976/2021. Ferner führen sie in derselben Eingabe aus, dass sie für das vorliegende Verfahren Bundesrichter ablehnen, die der SVP und der Mitte (vormals CVP) angehören, da "erhebliche politische Interessenkonflikte" bestehen würden.</w:t>
      </w:r>
    </w:p>
    <w:p>
      <w:r>
        <w:rPr>
          <w:b/>
        </w:rPr>
        <w:t>E. 3.1</w:t>
      </w:r>
    </w:p>
    <w:p>
      <w:r>
        <w:t>Vorab ist festzuhalten, dass die Kläger am 14. Januar 2022 um Revision des Urteils 2C_976/2021 vom 14. Dezember 2021 ersucht hatten. Das Revisionsgesuch wurde mit Urteil 2F_4/2022 vom 28. Januar 2022 abgewiesen. Dieses Urteil kann daher im Rahmen des vorliegenden Verfahrens nicht mehr infrage gestellt werden.</w:t>
      </w:r>
    </w:p>
    <w:p>
      <w:r>
        <w:rPr>
          <w:b/>
        </w:rPr>
        <w:t>E. 3.2</w:t>
      </w:r>
    </w:p>
    <w:p>
      <w:r>
        <w:t>Die Ausstandsgründe finden sich in Art. 34 BGG , welcher auch im vorliegenden Klageverfahren anwendbar ist ( Art. 1 Abs. 1 BZP ). Danach treten Richter, Richterinnen, Gerichtsschreiber und Gerichtsschreiberinnen (Gerichtspersonen) unter anderem in Ausstand, wenn sie in der Sache ein persönliches Interesse haben (lit. a) oder wenn sie aus anderen als den in Art. 34 Abs. 1 lit. a-d genannten Gründen, insbesondere wegen besonderer Freundschaft oder persönlicher Feindschaft mit einer Partei oder ihrem Vertreter, befangen sein könnten ( Art. 34 Abs. 1 lit. e BGG ).</w:t>
      </w:r>
    </w:p>
    <w:p>
      <w:r>
        <w:rPr>
          <w:b/>
        </w:rPr>
        <w:t>E. 3.3</w:t>
      </w:r>
    </w:p>
    <w:p>
      <w:r>
        <w:t>In Bezug auf alt Bundesrichter Seiler berufen sich die Kläger sinngemäss auf die Ausstandsgründe nach Art. 34 Abs. 1 lit. a und lit. e BGG . Sie bringen vor, alt Bundesrichter Seiler sei Mitglied der SVP, sodass ein erheblicher Interessenkonflikt bestehe. Dieser äussere sich darin, dass er das (selbständige) Verfahren 2C_976/2021 eröffnet habe. Damit habe er die Vorsteherin des VBS, die Eidgenossenschaft sowie das unter der Führung von Bundesrat Ueli Maurer (ebenfalls Mitglied der SVP) stehende EFD und die Verfasser der Verfügung des EFD vom 22. Dezember 2021 schützen wollen. Zudem habe er versucht, das vorliegende Klageverfahren zu erschweren oder gänzlich zu verunmöglichen.</w:t>
      </w:r>
    </w:p>
    <w:p>
      <w:r>
        <w:t>Damit wiederholen die Kläger im Wesentlichen ihre Vorbringen im Verfahren 2F_4/2022. Wie auch in jenem Verfahren erschöpft sich ihre Kritik in blossen unbelegten Behauptungen. Insbesondere gelingt es ihnen nicht, konkret darzutun, inwiefern alt Bundesrichter Seiler ein persönliches Interesse in der Sache gehabt hätte bzw. Umstände aufzuzeigen, die bei objektiver Betrachtung den Anschein der Befangenheit und Voreingenommenheit erwecken könnten (vgl. bereits Urteil 2F_4/2022 vom 28. Januar 2022 E. 3.3).</w:t>
      </w:r>
    </w:p>
    <w:p>
      <w:r>
        <w:t>Das Ausstandsgesuch erweist sich somit als unbegründet und ist abzuweisen, soweit es infolge des Rücktritts von alt Bundesrichter Seiler von seinem Amt nicht gegenstandslos geworden ist.</w:t>
      </w:r>
    </w:p>
    <w:p>
      <w:r>
        <w:rPr>
          <w:b/>
        </w:rPr>
        <w:t>E. 3.4</w:t>
      </w:r>
    </w:p>
    <w:p>
      <w:r>
        <w:t>Soweit die Kläger (sinngemäss) den Ausstand von weiteren Richterpersonen der II. öffentlich-rechtlichen Abteilung des Bundesgerichts verlangen, die der SVP oder der Mitte angehören, ist Folgendes festzuhalten: Wie das Bundesgericht bereits im Urteil 2F_4/2022 vom 28. Januar 2022 erwogen hat, stellt die Parteizugehörigkeit eines Richters für sich allein keinen Ausstandsgrund dar (vgl. dort E. 3.3, mit Hinweisen). Die Vorbringen der Kläger vermögen daher den Ausstand von vornherein nicht zu begründen, weshalb kein Ausstandsverfahren nach Art. 37 BGG durchzuführen ist (vgl. BGE 114 Ia 278 E. 1; Urteil 2C_71/2010 vom 22. September 2010 E. 2.2; vgl. auch AUBRY GIRARDIN, in: Commentaire LTF, a.a.O., N. 34 zu Art. 34, N. 17 zu Art. 36 und N. 13 zu Art. 37 BGG ). Auf das (sinngemäss) gestellte Ausstandsbegehren gegen Richterpersonen der II. öffentlich-rechtlichen Abteilung des Bundesgerichts ist daher nicht einzutreten.</w:t>
      </w:r>
    </w:p>
    <w:p>
      <w:r>
        <w:rPr>
          <w:b/>
        </w:rPr>
        <w:t>E. 4.1</w:t>
      </w:r>
    </w:p>
    <w:p>
      <w:r>
        <w:t>Für den Schaden, den eine unter das Verantwortlichkeitsgesetz fallende Person in Ausübung ihrer amtlichen Tätigkeit einer Drittperson widerrechtlich zufügt, haftet der Bund ohne Rücksicht auf das Verschulden der verursachenden Person (vgl. Art. 3 Abs. 1 VG ). Dem Gesetz unterstehen auch die Mitglieder des Bundesrates ( Art. 1 Abs. 1 lit. b VG ). Daraus ergeben sich folgende Haftungsvoraussetzungen, die kumulativ erfüllt sein müssen: Schaden, Verursachung durch eine unter das Verantwortlichkeitsgesetz fallende Person in Ausübung amtlicher Tätigkeiten und Widerrechtlichkeit. Zudem muss zwischen der widerrechtlichen Handlung oder Unterlassung und dem Schaden ein adäquater Kausalzusammenhang bestehen (vgl. BGE 139 IV 137 E. 4.1; Urteil 2E_3/2020 / 2E_4/2020 vom 11. November 2021 E. 6.2; vgl. auch TOBIAS JAAG/JULIA HÄNNI, in: Die Schweizerische Bundesverfassung, St. Galler Kommentar, 3. Aufl. 2014 [nachfolgend: St. Galler Kommentar], N. 17 zu Art. 164 BV ).</w:t>
      </w:r>
    </w:p>
    <w:p>
      <w:r>
        <w:rPr>
          <w:b/>
        </w:rPr>
        <w:t>E. 4.2</w:t>
      </w:r>
    </w:p>
    <w:p>
      <w:r>
        <w:t>Von Widerrechtlichkeit im Sinne von Art. 3 Abs. 1 VG ist praxisgemäss zu sprechen, wenn das amtliche Verhalten, das die dem Verantwortlichkeitsgesetz unterstehende Person äussert, gegen eine allgemeine Pflicht verstösst, indem das Verhalten entweder ein absolutes Recht der geschädigten Person verletzt (Erfolgsunrecht) oder durch Verstoss gegen eine einschlägige Schutznorm eine reine Vermögensschädigung hervorruft (Verhaltens- oder Handlungsunrecht; vgl. dazu BGE 144 I 318 E. 5.5; Urteil 2E_3/2020 / 2E_4/2020 vom 11. November 2021 E. 7.1). Absolute Rechtsgüter sind Leib, Leben, Freiheit, Persönlichkeit, Eigentum und Besitz. Für Widerrechtlichkeit genügt bei der Verletzung von absoluten Rechtsgütern der Eintritt des Schadens; eine Normverletzung ist nicht erforderlich (vgl. BGE 123 II 577 E. 4d; 113 Ib 420 E. 2; Urteil 2E_3/2020 / 2E_4/2020 vom 11. November 2021 E. 7.2; JAAG/HÄNNI, a.a.O., N. 26 zu Art. 164 BV ). Da das Vermögen kein absolutes subjektives Rechtsgut darstellt, ist eine reine Vermögensschädigung nur widerrechtlich, wenn sie auf einen Verstoss gegen eine Verhaltensnorm zurückgeht, die dem Schutz vor solchen Schädigungen dient ( BGE 144 I 318 E. 5.5; 139 IV 137 E. 4.2; 132 II 305 E. 4.1).</w:t>
      </w:r>
    </w:p>
    <w:p>
      <w:r>
        <w:rPr>
          <w:b/>
        </w:rPr>
        <w:t>E. 4.3</w:t>
      </w:r>
    </w:p>
    <w:p>
      <w:r>
        <w:t>Das widerrechtliche Verhalten kann entweder in einem Tun oder in einem Unterlassen bestehen. Die Haftung für eine Unterlassung setzt voraus, dass eine Pflicht zum Handeln bestanden hat. Eine Handlungspflicht ist dabei nur dann haftpflichtrechtlich von Bedeutung, wenn sie das Interesse der geschädigten Person verfolgt und sich aus einer Schutzvorschrift zu deren Gunsten ergibt. Die Widerrechtlichkeit einer Unterlassung setzt mithin eine Garantenpflicht voraus (vgl. BGE 144 I 318 E. 5.5; 132 II 305 E. 4.1; 123 II 577 ff.; 116 Ib 367 E. 4c; 115 II 15 E. 3b; Urteile 2C_1059/2014 vom 25. Mai 2016 E. 5.3; 2C.4/2000 vom 3. Juli 2003 E. 5.1.2; vgl. ferner TOBIAS JAAG, Staats- und Beamtenhaftung, in: Koller/Müller/Rhinow/Zimmerli [Hrsg.], Schweizerisches Bundesverwaltungsrecht, Band I: Organisationsrecht, 2. Aufl. 2006, N. 78 und 98; JAAG/HÄNNI, a.a.O., N. 30 zu Art. 164 BV ). Schutznormen, die eine Garantenstellung begründen, können sich aus irgendeinem Teil des objektiven, selbst des ungeschriebenen Rechts ergeben ( BGE 116 Ib 367 E. 4c; Urteile 2C_46/2020 vom 2. Juli 2020 E. 6.1; 2C_816/2017 vom 8. Juni 2018 E. 3.3; 4A_104/2012 vom 3. August 2012 E. 2.1, mit Hinweisen).</w:t>
      </w:r>
    </w:p>
    <w:p>
      <w:r>
        <w:t>Nach ständiger Rechtsprechung kann nur die Verletzung einer wesentlichen Amtspflicht durch die Behörde die Haftung des Bundes auslösen (vgl. BGE 139 IV 137 E. 4.2; 132 II 305 E. 4.1; 132 II 449 E. 3.3; Urteile 2E_3/2020 / 2E_4/2020 vom 11. November 2021 E. 8.2; 2E_4/2019 vom 28. Oktober 2021 E. 4.2.2). Haftungsbegründend ist somit das Verhalten eines Magistraten oder eines Beamten nur dann, wenn er eine für die Ausübung seiner amtlichen Funktion wesentliche Pflicht verletzt oder einen schweren und offensichtlichen Fehler begeht, der einer pflichtbewussten Amtsperson nicht unterlaufen wäre (vgl. BGE 132 II 449 E. 3.3; Urteile 2E_3/2020 / 2E_4/2020 vom 11. November 2021 E. 8.1; 2C_856/2017 vom 13. Mai 2019 E. 5.3.3).</w:t>
      </w:r>
    </w:p>
    <w:p>
      <w:r>
        <w:rPr>
          <w:b/>
        </w:rPr>
        <w:t>E. 5</w:t>
      </w:r>
    </w:p>
    <w:p>
      <w:r>
        <w:t>Zu prüfen ist, ob Bundesrätin Viola Amherd ein widerrechtliches Verhalten vorgeworfen werden kann.</w:t>
      </w:r>
    </w:p>
    <w:p>
      <w:r>
        <w:rPr>
          <w:b/>
        </w:rPr>
        <w:t>E. 5.1</w:t>
      </w:r>
    </w:p>
    <w:p>
      <w:r>
        <w:t>Vorab ist Folgendes festzuhalten: Der Klageschrift lässt sich entnehmen, dass der geltend gemachte Schaden auf Vorgänge zurückgeführt wird, die insbesondere im Jahr 2015, allenfalls auch in den Jahren 2016-2018 stattgefunden haben. Die strittige Sport-Applikation des VBS ist sodann unbestrittenermassen im März 2019, nach Abschluss der Entwicklungsphase, veröffentlicht worden. Es ist gerichtsnotorisch, dass Bundesrätin Viola erst im Dezember 2018 gewählt wurde und seit dem 1. Januar 2019 Vorsteherin des VBS ist. Folglich konnte sie an den Vorgängen, die vor ihrem Amtsantritt stattgefunden haben, naturgemäss nicht beteiligt gewesen sein bzw. können ihr Handlungen oder Unterlassungen aus dem Zeitraum davor nicht zugerechnet werden.</w:t>
      </w:r>
    </w:p>
    <w:p>
      <w:r>
        <w:t>Es stellt sich somit einzig die Frage eines allfälligen widerrechtlichen Verhaltens von Bundesrätin Viola Amherd nach ihrem Amtsantritt.</w:t>
      </w:r>
    </w:p>
    <w:p>
      <w:r>
        <w:rPr>
          <w:b/>
        </w:rPr>
        <w:t>E. 5.2</w:t>
      </w:r>
    </w:p>
    <w:p>
      <w:r>
        <w:t>Die Kläger werfen Bundesrätin Viola Amherd insbesondere verschiedene Unterlassungen vor. Sie behaupten nicht, dass der angebliche Schaden aus der Verletzung eines absoluten Rechtsguts entstanden sei, sodass davon auszugehen ist, dass eine reine Vermögensschädigung zur Diskussion steht. Folglich setzt die Widerrechtlichkeit eine Pflicht zum Handeln im Interesse des Geschädigten voraus (vgl. E. 4.2 und 4.3 hiervor).</w:t>
      </w:r>
    </w:p>
    <w:p>
      <w:r>
        <w:rPr>
          <w:b/>
        </w:rPr>
        <w:t>E. 5.2.1</w:t>
      </w:r>
    </w:p>
    <w:p>
      <w:r>
        <w:t>Die Kläger bringen im Wesentlichen vor, Bundesrätin Viola Amherd habe ihre Führungs- und Aufsichtsaufgaben nicht wahrgenommen. Aus ihrer Sicht habe sie es unterlassen, unerlaubten Handlungen innerhalb der Verwaltungseinheiten des VBS zu untersuchen und dadurch den Schaden der Kläger zu verringern. Sie erblicken ein widerrechtliches Verhalten in der Verletzung verschiedener Bestimmungen des Regierungs- und Verwaltungsorganisationsgesetzes vom 21. März 1997 (RVOG; SR 172.010) und der Regierungs- und Verwaltungsorganisationsverordnung vom 25. November 1998 (RVOV; SR 172.010.1). Konkret werfen sie Bundesrätin Viola Amherd Verstösse gegen Art. 3, 8 Abs. 3, 35 Abs. 1, 36 Abs. 1, 37 Abs. 1 und 38 RVOG sowie gegen Art. 7 Abs. 1 lit. a und lit. b, 3, 11, 12 Abs. 1 lit. a, c und e, 23 Abs. 2, 24 Abs. 1 und 2 und 25 Abs. 1 lit. a RVOV vor. Gemäss ihrer Stellungnahme zur Klageantwort des EFD ergebe sich eine Garantenstellung der Vorsteherin des VBS insbesondere aus Art. 3 und Art. 37 Abs. 1 RVOG .</w:t>
      </w:r>
    </w:p>
    <w:p>
      <w:r>
        <w:rPr>
          <w:b/>
        </w:rPr>
        <w:t>E. 5.2.2</w:t>
      </w:r>
    </w:p>
    <w:p>
      <w:r>
        <w:t>Zunächst ist festzuhalten, dass das RVOG sowie die RVOV primär die Organisation, die Führung und die Arbeitsweise von Regierung und Verwaltung zum Gegenstand hat. Das Gesetz regelt in erster Linie die politische, nicht aber eine allfällige vermögensrechtliche und strafrechtliche Verantwortlichkeit des Bundesrats und dessen Mitglieder (vgl. Botschaft zum Regierungs- und Verwaltungsorganisationsgesetz [RVOG] vom 20. Oktober 1993, BBl 1993 III 997 [nachfolgend: Botschaft RVOG 1993], S. 1062; vgl. auch Art. 4 und Art. 37 Abs. 1 RVOG ). Als "politische Verantwortlichkeit" bezeichnet die Botschaft RVOG 1993 "das Hintreten vor die Bundesversammlung und die Öffentlichkeit, das Rede- und Antwortstehen, das Entgegennehmen von Beanstandungen, aber auch von akzeptierender Billigung" (Botschaft RVOG 1993, a.a.O., S. 1062). Obwohl das RVOG keinen Zweckartikel enthält, lässt sich bereits aus den darin geregelten Gegenständen schliessen, dass das Gesetz nicht in erster Linie den Schutz des Vermögens bzw. von Rechtsgütern vor allfälligen Schäden bezweckt. Vielmehr soll dadurch u.a. die wirksame Führung innerhalb von Regierung und Verwaltung sichergestellt, eine sinnvolle Arbeitsgestaltung und Amtsführung durch die Verantwortlichen ermöglicht oder Verantwortlichkeit gegenüber Kontrollorganen und der Öffentlichkeit festgelegt werden (vgl. dazu auch Botschaft RVOG 1993, a.a.O., S. 1017 ff. betreffend die Ziele der Regierungsreform).</w:t>
      </w:r>
    </w:p>
    <w:p>
      <w:r>
        <w:rPr>
          <w:b/>
        </w:rPr>
        <w:t>E. 5.2.3</w:t>
      </w:r>
    </w:p>
    <w:p>
      <w:r>
        <w:t>Art. 3 RVOG , aus welchem die Kläger eine Garantenpflicht von Bundesrätin Viola Amherd ableiten wollen, hat die Grundsätze der Regierungs- und Verwaltungstätigkeit zum Gegenstand. Dessen Abs. 1, wonach Bundesrat und Bundesverwaltung auf der Grundlage von Verfassung und Gesetz handeln, verankert das Legalitätsprinzip für das Regierungs- und Verwaltungshandeln und hat neben Art. 5 Abs. 1 BV keine eigenständige Bedeutung. Vielmehr kommt dieser Bestimmung eine Appell- und Erinnerungsfunktion zu (vgl. THOMAS SÄGESSER, in: Regierungs- und Verwaltungsorganisationsgesetz RVOG vom 21. März 1997, Kommentar, 2007, N. 18 zu Art. 3 RVOG ).</w:t>
      </w:r>
    </w:p>
    <w:p>
      <w:r>
        <w:t>Nach Art. 3 Abs. 2 RVOG setzen sich Bundesrat und Bundesverwaltung für das Gemeinwohl ein, wahren die Rechte der Bürger und Bürgerinnen sowie die Zuständigkeit der Kantone und fördern die Zusammenarbeit zwischen Bund und Kantonen. Diese Grundsätze stellen Handlungsanweisungen für Bundesrat und Bundesverwaltung dar, die weder eine Kompetenzgrundlage für den Erlass von Rechtsvorschriften oder Massnahmen verschaffen noch individuelle und einklagbare Rechte darstelle (SÄGESSER, a.a.O., N. 23 zu Art. 3 RVOG ). Ergänzt werden diese Grundsätze durch Art. 3 Abs. 3 RVOG , welcher die Zweckmässigkeit und Wirtschaftlichkeit der Regierungs- und Verwaltungstätigkeit verankert.</w:t>
      </w:r>
    </w:p>
    <w:p>
      <w:r>
        <w:t>Es ist nicht ersichtlich, inwiefern sich aus diesen allgemein formulierten Grundsätzen der Regierungs- und Verwaltungstätigkeit Handlungspflichten von Bundesrätin Viola Amherd im Interesse der Geschädigten bzw. eine Garantenstellung ergeben sollen.</w:t>
      </w:r>
    </w:p>
    <w:p>
      <w:r>
        <w:rPr>
          <w:b/>
        </w:rPr>
        <w:t>E. 5.2.4</w:t>
      </w:r>
    </w:p>
    <w:p>
      <w:r>
        <w:t>Die von den Klägern weiter angerufenen Art. 35-38 RVOG haben die Führungsgrundsätze der Bundesverwaltung zum Gegenstand. Art. 35 Abs. 1 RVOG verankert den Grundsatz, wonach der Bundesrat sowie die Departementsvorsteher und Departementsvorsteherinnen die Bundesverwaltung führen. Gemäss dessen Abs. 2 führt jedes Mitglied des Bundesrats ein Departement. Dies bedeutet einerseits, dass die Departementsvorsteher den Mitarbeitern ihres Departements die nötigen zielsetzenden Vorgaben für ihre Aufgabenerledigung vorgeben und andererseits, dass die Departementsvorsteher für die Führung ihres Amtes politisch verantwortlich sind (vgl. Botschaft RVOG 1993, a.a.O., S. 1084). Einzelne Führungsgrundsätze werden sodann in Art. 36 RVOG aufgeführt.</w:t>
      </w:r>
    </w:p>
    <w:p>
      <w:r>
        <w:t>Art. 37 RVOG , aus welchem die Kläger ebenfalls eine Garantenpflicht ableiten wollen, sieht seinerseits vor, dass der Departementsvorsteher oder die Departementsvorsteherin das Departement führt und dafür die politische Verantwortung trägt (Abs. 1). Er oder sie bestimmt die Führungsleitlinien (Abs. 2 lit. a), überträgt, soweit erforderlich, die unmittelbare Erfüllung der departementalen Aufgaben auf unterstellte Verwaltungseinheiten und Mitarbeiter und Mitarbeiterinnen (Abs. 2 lit. b) und legt im Rahmen dieses Gesetzes die Organisation des Departements fest (Abs. 2 lit. c). Innerhalb des Departements verfügt der Departementsvorsteher oder die Departementsvorsteherin grundsätzlich über uneingeschränkte Weisungs-, Kontroll- und Selbsteintrittsrechte ( Art. 38 RVOG ).</w:t>
      </w:r>
    </w:p>
    <w:p>
      <w:r>
        <w:t>Art. 37 RVOG regelt somit die politische Verantwortung (vgl. dazu E. 5.2.2 hiervor) der Departementsvorsteher, die nicht mit einer allfälligen haftpflichtrechtlichen Verantwortlichkeit gleichzusetzen ist. Die politische Verantwortlichkeit besteht primär gegenüber dem Bundesrat, dem die Aufsicht über die Departementsführung obliegt, sekundär gegenüber der Bundesversammlung als die Oberaufsicht über Bundesrat und Bundesverwaltung wahrnehmende Behörde (SÄGESSER, a.a.O., N. 10 zu Art. 37 RVOG ). Daraus ist ersichtlich, dass Art. 37 RVOG - wie auch Art. 35, 36 und 38 RVOG - nicht die Interessen der Geschädigten verfolgt. Diese Rechtsnorm ist somit haftungsrechtlich nicht von Bedeutung, sodass daraus auch keine Garantenpflicht von Bundesrätin Viola Amherd abgeleitet werden kann.</w:t>
      </w:r>
    </w:p>
    <w:p>
      <w:r>
        <w:rPr>
          <w:b/>
        </w:rPr>
        <w:t>E. 5.2.5</w:t>
      </w:r>
    </w:p>
    <w:p>
      <w:r>
        <w:t>Gemäss Art. 8 Abs. 3 RVOG , auf welchen sich die Kläger ebenfalls berufen, übt der Bundesrat die ständige und systematische Aufsicht über die Bundesverwaltung aus. Die Aufsicht ist ein Mittel der Verwaltungsführung und daher Teil der bundesrätlichen Führungsaufgabe (SÄGESSER, a.a.O., N. 35 zu Art. 8 RVOG ). Die Aufsicht über die Bundesverwaltung liegt bereits von Verfassungs wegen beim Bundesrat als Kollegialorgan (vgl. Art. 187 Abs. 1 lit. a BV ). Die Beaufsichtigung ist gesetzliche Aufgabe aller vorgesetzten Stellen in der Verwaltungshierarchie, sodass die Anforderungen von Art. 8 Abs. 3 RVOG sinngemäss für die dem Bundesrat untergeordneten Verwaltungsebenen gelten. Dies erlaubt dem Bundesrat, Prioritäten zu setzen und seine eigene Aufsichtstätigkeit auf bedeutende Probleme zu konzentrieren (vgl. GIOVANNI BIAGGINI, in: St. Galler Kommentar, a.a.O., N. 7 zu Art. 187 BV ). Im Zentrum der Aufsicht stehen die Rechtmässigkeit, die Wirksamkeit und die Wirtschaftlichkeit (BIAGGINI, a.a.O., N. 10 zu Art. 187 BV ).</w:t>
      </w:r>
    </w:p>
    <w:p>
      <w:r>
        <w:t>Dass diese Bestimmung den Schutz der Vermögensinteressen der angeblich Geschädigten bezwecken soll (vgl. E. 5.2 hiervor), ist nicht ersichtlich. Ebensowenig lassen sich daraus konkrete Handlungspflichten der Vorsteherin des VBS zugunsten der Kläger ableiten.</w:t>
      </w:r>
    </w:p>
    <w:p>
      <w:r>
        <w:rPr>
          <w:b/>
        </w:rPr>
        <w:t>E. 5.2.6</w:t>
      </w:r>
    </w:p>
    <w:p>
      <w:r>
        <w:t>Gleich verhält es sich mit den von den Klägern genannten Bestimmungen der RVOV. Diese konkretisieren das RVOG und haben zum Gegenstand die Anträge, Aussprachen und Informationsnotizen des Bundesrats (Art. 3), die Gliederung der zentralen Bundesverwaltung (Art. 7), die Grundsätze der Verwaltungstätigkeit und der Verwaltungsführung (Art. 11 und 12), die Information und Kommunikation (Art. 23), die Aufsicht über die Verwaltung (Art. 24) sowie die Kontrolle (Art. 25). Eine allfällige Garantenpflicht von Bundesrätin Viola Amherd kann daraus nicht abgeleitet werden.</w:t>
      </w:r>
    </w:p>
    <w:p>
      <w:r>
        <w:rPr>
          <w:b/>
        </w:rPr>
        <w:t>E. 5.2.7</w:t>
      </w:r>
    </w:p>
    <w:p>
      <w:r>
        <w:t>Es ergibt sich, dass die von den Klägern angerufenen Rechtsnormen allgemeine Grundsätze der Regierungs- und Verwaltungstätigkeit sowie Führungsgrundsätze enthalten. Sie haben insbesondere die politische Verantwortlichkeit des Bundesrats als Kollegialbehörde bzw. der Departementsvorsteher zum Gegenstand. Sie stellen indessen keine Normen dar, die primär die Interessen der angeblich Geschädigten verfolgen; vielmehr soll dadurch u.a. die wirksame Führung innerhalb von Regierung und Verwaltung sichergestellt und eine (geordnete) Regierungstätigkeit gewährleistet werden. Der Umstand, dass durch die Einhaltung dieser Grundsätze im Sinne einer Reflexwirkung auch Interessen der Kläger geschützt werden könnten, reicht nicht aus, um darin haftungsrechtlich relevante Schutznormen zu erblicken (vgl. auch JAAG, a.a.O., N. 12).</w:t>
      </w:r>
    </w:p>
    <w:p>
      <w:r>
        <w:rPr>
          <w:b/>
        </w:rPr>
        <w:t>E. 5.3</w:t>
      </w:r>
    </w:p>
    <w:p>
      <w:r>
        <w:t>Die von den Klägern darüber hinaus erhobenen Vorwürfe des Betrugs ( Art. 146 StGB ) und der arglistigen Vermögensschädigung ( Art. 151 StGB ) sowie der Verletzung verschiedener Bestimmungen des Bundesgesetzes vom 19. Dezember 1986 gegen den unlauteren Wettbewerb (UWG; SR 241) betreffen gemäss Klageschrift und Replik primär das Verhalten von Mitarbeitern des VBS oder des BASPO und nicht jenes von Bundesrätin Viola Amherd persönlich. Daher können ihr die behaupteten Normverstösse nicht zugerechnet werden. Insbesondere spielten sich die Vorgänge, die zur angeblichen Schädigung der Kläger führten (so namentlich unrechtmässiges Beschaffen vertraulicher Informationen bzw. von geistigem Eigentum der Kläger und Weitergabe an Dritte, aktive Täuschung über eine mögliche Zusammenarbeit) im Jahr 2015 ab. Daran konnte Bundesrätin Viola Amherd, wie bereits ausgeführt noch nicht im Amt befindlich, von vornherein nicht beteiligt gewesen sein (vgl. E. 5.1 hiervor), sodass daraus kein widerrechtliches Verhalten der Departementsvorsteherin VBS abgeleitet werden kann.</w:t>
      </w:r>
    </w:p>
    <w:p>
      <w:r>
        <w:rPr>
          <w:b/>
        </w:rPr>
        <w:t>E. 6</w:t>
      </w:r>
    </w:p>
    <w:p>
      <w:r>
        <w:t>Im Ergebnis ist festzuhalten, dass der geltend gemachte Schadenersatz- und Genugtuungsanspruch bereits an der Voraussetzung der Widerrechtlichkeit scheitert. Es erübrigt sich daher, die weiteren Haftungsvoraussetzungen zu prüfen. Die Klage erweist sich somit als offensichtlich unbegründet (vgl. auch E. 2.3 und 2.4 hiervor) und ist abzuweisen.</w:t>
      </w:r>
    </w:p>
    <w:p>
      <w:r>
        <w:rPr>
          <w:b/>
        </w:rPr>
        <w:t>E. 7</w:t>
      </w:r>
    </w:p>
    <w:p>
      <w:r>
        <w:t>Bei diesem Verfahrensausgang werden die unterliegenden Kläger zu gleichen Teilen und unter solidarischer Haftung kostenpflichtig ( Art. 69 Abs. 1 BZP in Verbindung mit Art. 65 und Art. 66 Abs. 1 und 5 BGG ). Sie haben indes ein Gesuch um unentgeltliche Rechtspflege gestellt. Angesichts dessen, dass die Klage als offensichtlich unbegründet abzuweisen ist, kann dem Gesuch der Kläger um unentgeltliche Rechtspflege infolge Aussichtslosigkeit der Klage nicht entsprochen werden (Art. 64</w:t>
      </w:r>
    </w:p>
    <w:p>
      <w:r>
        <w:t>e contrario BGG). Daher sind ihre Vorbringen zur Mittellosigkeit (vgl. dazu BGE 143 I 328 E. 3) nicht weiter zu prüfen. Indessen rechtfertigt es sich, die Kosten des bundesgerichtlichen Verfahrens angemessen zu reduzieren, namentlich weil keine öffentliche Verhandlung durchgeführt wurde.</w:t>
      </w:r>
    </w:p>
    <w:p>
      <w:r>
        <w:t>Der Eidgenossenschaft, die in ihrem amtlichen Wirkungskreis obsiegt, ist keine Parteientschädigung zuzusprechen ( Art. 69 Abs. 1 BZP in Verbindung mit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