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2E_2/2012 vom 28. März 2013</w:t>
      </w:r>
    </w:p>
    <w:p>
      <w:r>
        <w:t>Bundesgericht, 2013-03-28, DE</w:t>
      </w:r>
    </w:p>
    <w:p>
      <w:r>
        <w:rPr>
          <w:b/>
        </w:rPr>
        <w:t xml:space="preserve">Quelle: </w:t>
      </w:r>
      <w:r>
        <w:t>https://mcp.opencaselaw.ch/entscheid/bger_2E_2_2012</w:t>
      </w:r>
    </w:p>
    <w:p>
      <w:r>
        <w:t>FR: TF 2E_2/2012 du 28 mars 2013</w:t>
      </w:r>
    </w:p>
    <w:p>
      <w:r>
        <w:t>IT: TF 2E_2/2012 del 28 marzo 2013</w:t>
      </w:r>
    </w:p>
    <w:p>
      <w:pPr>
        <w:pStyle w:val="Heading2"/>
      </w:pPr>
      <w:r>
        <w:t>Erwägungen</w:t>
      </w:r>
    </w:p>
    <w:p>
      <w:r>
        <w:rPr>
          <w:b/>
        </w:rPr>
        <w:t>E. 1</w:t>
      </w:r>
    </w:p>
    <w:p>
      <w:r>
        <w:t>Gemäss Art. 3 Abs. 1 des Bundesgesetzes vom 14. März 1958 über die Verantwortlichkeit des Bundes sowie seiner Behördemitglieder und Beamten (Verantwortlichkeitsgesetz, VG; SR 170.32) haftet der Bund für den Schaden, den ein Beamter in Ausübung seiner amtlichen Tätigkeit Dritten widerrechtlich zufügt, ohne Rücksicht auf das Verschulden des Beamten. Die Haftung erstreckt sich auch auf den durch ein Mitglied der eidgenössischen Gerichte in Ausübung amtlicher Tätigkeit zugefügten Schaden ( Art. 1 Abs. 1 lit. c VG ). Über streitige Ansprüche auf Schadenersatz aus der Amtstätigkeit eines Mitglieds der eidgenössischen Gerichte urteilt das Bundesgericht als einzige Instanz ( Art. 10 Abs. 2 VG ) im Klageverfahren nach Art. 120 Abs. 1 lit. c BGG . Das Schadenersatzbegehren ist dabei dem Eidgenössischen Finanzdepartement einzureichen, welches es an den Bundesrat weiterleitet, der dazu Stellung nimmt ( Art. 20 Abs. 2 und Art. 10 Abs. 2 VG sowie Art. 3 Abs. 1 der Verordnung vom 30. Dezember 1958 zum Verantwortlichkeitsgesetz [VoVG; SR 170.321]). Bestreitet der Bund den Schaden oder erhält der Geschädigte innert drei Monaten keine Stellungnahme, so hat dieser innert weiterer sechs Monate bei Folge der Verwirkung Klage einzureichen ( Art. 20 Abs. 3 VG ). Die Haftung des Bundes erlischt, wenn der Geschädigte sein Begehren auf Schadenersatz und Genugtuung nicht innert eines Jahres seit Kenntnis des Schadens einreicht, auf alle Fälle zehn Jahre seit dem Tage der schädigenden Handlung des Beamten ( Art. 20 Abs. 1 VG ). In einem Verantwortlichkeitsverfahren nicht überprüft werden kann die Rechtmässigkeit formell rechtskräftiger Verfügungen, Entscheide und Urteile ( Art. 12 VG ). Die allfällige Leistung von Genugtuung kommt nur bei gewissen Rechtsgutverletzungen in Betracht und setzt in jedem Fall ein Verschulden des Beamten voraus ( Art. 6 VG ).</w:t>
      </w:r>
    </w:p>
    <w:p>
      <w:r>
        <w:rPr>
          <w:b/>
        </w:rPr>
        <w:t>E. 2</w:t>
      </w:r>
    </w:p>
    <w:p>
      <w:r>
        <w:t>Die Klägerin will das Schreiben des Bundesrats vom 16. Mai 2012 erst am 21. Mai 2012 erhalten haben. Mit der Klage vom 21. November 2012 wäre diesfalls die sechsmonatige Frist gemäss Art. 20 Abs. 3 VG gewahrt; allerdings ist hierfür die Postaufgabe mit 22. November 2012 dokumentiert, wobei das damit zu tun haben kann, dass die Klägerin in einer Anstalt weilt und sie auf fristwahrende Mitwirkung von Anstaltspersonal angewiesen ist. Wie es sich damit verhält oder ob schon die Eingabe vom 5. November (Postaufgabe 13. November) 2012 als fristwahrend zu gelten hat, kann offen bleiben, da der Klage ohnehin kein Erfolg beschieden ist.</w:t>
      </w:r>
    </w:p>
    <w:p>
      <w:r>
        <w:rPr>
          <w:b/>
        </w:rPr>
        <w:t>E. 3</w:t>
      </w:r>
    </w:p>
    <w:p>
      <w:r>
        <w:t>Als haftungsrechtlich massgebliche widerrechtliche Handlung kommt hier der Verlust von Akten in Betracht. Das Bundesgericht hatte im Verfahren 6S.85/2002 am 7. März 2002 beim Obergericht des Kantons Luzern die kantonalen Akten angefordert; am 9. April 2002 gingen diese ein (Gesamtgewicht 16,270 kg). Die Klägerin geht davon aus, dass davon ein Teil von über zwei Kilogramm verloren gegangen sei, und zwar - vermutlich - beim Bundesgericht. Dieser Aktenverlust müsste, um die Haftung des Bundes auszulösen, kausal für einen von der Klägerin erlittenen Schaden sein. Den Schaden erblickt diese darin, dass die Verwahrung, wären die Akten nicht verloren gegangen, durch das Bundesgericht aufgehoben worden wäre bzw. sie gestützt auf sich aus den vollständigen Akten wohl ergebende Nichtigkeits- oder Revisionsgründe deren Beendigung hätte herbeiführen können.</w:t>
      </w:r>
    </w:p>
    <w:p>
      <w:r>
        <w:t>Es ist selbst im Ansatz nicht erkennbar, inwiefern der Verlust eines Teils der Akten, selbst wenn dieser schon vor Abschluss des ersten bundesgerichtlichen Verfahrens eingetreten sein sollte, das erste, die Verwahrung bestätigende Urteil des Bundesgerichts 6P.38/2002 und 6S.85/2002 vom 1. Juli 2002 zu Ungunsten der Klägerin beeinflusst haben könnte: Aus E. 2 und 6 des besagten Urteils ergibt sich, dass dem Bundesgericht zwei erste psychiatrische Gutachten, ein Obergutachten sowie ein von der Klägerin beigebrachtes Privatgutachten vorlagen, die umfassend gewürdigt wurden. Die Klägerin glaubt offenbar (s. ihre Eingabe vom 5. März 2012 an das Eidgenössische Finanzdepartement), aus den fehlenden Akten würden sich Unregelmässigkeiten im kantonalen Strafverfahren ergeben; sie meint dabei vor allem, dass weder der Staatsanwalt noch der - erste - psychiatrische Gutachter eine Verwahrung empfohlen bzw. beantragt habe; eine Verwahrung sei auch an der Hauptverhandlung vom 22. Januar 1999 kein Prozessthema gewesen, sondern sechs Jahre Gefängnis. Dies ist entgegen ihrer Auffassung irrelevant. Es oblag dem Kriminalgericht des Kantons Luzern, unter Berücksichtigung sämtlicher Umstände und ungeachtet etwa der Anträge des Staatsanwalts, über Notwendigkeit, Art und Ausmass der Sanktion oder Massnahme zu befinden. Was die Klägerin heute - zu Unrecht - als Verfahrensmangel erachtet (Abweichen von Anträgen des Staatsanwalts oder möglicherweise von der Beurteilung eines ersten Gutachters, Anordnung ergänzender Gutachten vor erster oder zweiter Instanz usw.), war ihr bzw. ihrem Anwalt während des kantonalen Strafverfahrens und auch zum Zeitpunkt der Beschwerdeerhebung an das Bundesgericht offensichtlich bekannt und hätte gerügt werden können (und müssen). Unerfindlich bleibt sodann, inwiefern sich aus den fehlenden Akten Anhaltspunkte dafür ergeben sollten, dass die in den zahlreichen weiteren Verfahren betreffend Aufhebung der Verwahrung sowie Anordnung bzw. Aufhebung der stationären Massnahme erstellten Gutachten durch Gegebenheiten des ursprünglichen Strafverfahrens ungebührlich beeinflusst gewesen sein sollten. Die entsprechenden Entscheide waren mehrheitlich (zuletzt, nach Einleitung des Staatshaftungsverfahrens, mit Beschwerde vom 10. Mai 2012; s. Urteil 6B_298/2012 vom 16. Juli 2012) bis vor Bundesgericht gezogen worden, ohne dass Einwendungen gegen die jeweiligen Gutachten oder die daraus gezogenen Schlüsse der zuständigen kantonalen Instanzen erfolgreich gewesen wären. Es fehlt offensichtlich an jeglichem Kausalzusammenhang zwischen dem partiellen Aktenverlust (wo immer dieser eingetreten sein mag) und der Anordnung und späteren Aufrechterhaltung der Verwahrung bzw. der nachträglichen Anordnung und Beibehaltung der stationären Massnahme.</w:t>
      </w:r>
    </w:p>
    <w:p>
      <w:r>
        <w:rPr>
          <w:b/>
        </w:rPr>
        <w:t>E. 4</w:t>
      </w:r>
    </w:p>
    <w:p>
      <w:r>
        <w:t>Fehlt es bereits offensichtlich am Nachweis eines durch behördliche Handlungen verursachten Schadens, erübrigt sich die Prüfung des Vorliegens der weiteren Haftungsvoraussetzungen, müssten diese doch kumulativ erfüllt sein. Jedenfalls dürfte, wie der Bundesrat in seiner Stellungnahme vom 16. Mai 2012 festgehalten hat, die relative Verjährungsfrist von einem Jahr ( Art. 20 Abs. 1 VG ) nicht eingehalten sein; in der Tat ist, so wie die Klägerin ihren Schaden versteht, nicht nachvollziehbar, warum sich dieser nicht innert eines Jahres seit (angeblich erstmaliger) Kenntnisnahme vom Aktenverlust im Jahr 2005 genügend hätte konkretisieren lassen sollen. Zudem stellte sich sowohl in Bezug auf das Urteil 6P.38/2002 und 6S.85/2002 vom 1. Juli 2002 wie auch auf sämtliche daran anschliessenden späteren Urteile zwingend die Frage eines Haftungsausschlusses schon nach Art. 12 VG .</w:t>
      </w:r>
    </w:p>
    <w:p>
      <w:r>
        <w:rPr>
          <w:b/>
        </w:rPr>
        <w:t>E. 5</w:t>
      </w:r>
    </w:p>
    <w:p>
      <w:r>
        <w:t>Die Klage entbehrt jeglicher nachvollziehbarer Grundlage; sie ist abzuweisen, soweit darauf überhaupt einzutreten ist.</w:t>
      </w:r>
    </w:p>
    <w:p>
      <w:r>
        <w:rPr>
          <w:b/>
        </w:rPr>
        <w:t>E. 6</w:t>
      </w:r>
    </w:p>
    <w:p>
      <w:r>
        <w:t>Da es, unabhängig davon, wer den Verlust von Akten verursacht haben könnte, gleich an mehreren gesetzlichen Haftungsvoraussetzungen gebricht, entfällt die Notwendigkeit, die Sache an das Bundesverwaltungsgericht (oder an das Eidgenössische Finanzdepartement zwecks Erlass einer Verfügung im Sinne von Art. 10 Abs. 1 VG bzw. Art. 2 Abs. 1 VoVG) zu überweisen.</w:t>
      </w:r>
    </w:p>
    <w:p>
      <w:r>
        <w:rPr>
          <w:b/>
        </w:rPr>
        <w:t>E. 7</w:t>
      </w:r>
    </w:p>
    <w:p>
      <w:r>
        <w:t>Bei diesem Verfahrensausgang wären die Gerichtskosten ( Art. 65 BGG ) der Klägerin aufzuerlegen (Art. 66 Abs. 1 erster Satz BGG). Die Umstände rechtfertigen es jedoch, hier ausnahmsweise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