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2D_7/2019 vom 11. Februar 2019</w:t>
      </w:r>
    </w:p>
    <w:p>
      <w:r>
        <w:t>Bundesgericht, 2019-02-11, FR</w:t>
      </w:r>
    </w:p>
    <w:p>
      <w:r>
        <w:rPr>
          <w:b/>
        </w:rPr>
        <w:t xml:space="preserve">Quelle: </w:t>
      </w:r>
      <w:r>
        <w:t>https://mcp.opencaselaw.ch/entscheid/bger_2D_7_2019</w:t>
      </w:r>
    </w:p>
    <w:p>
      <w:r>
        <w:t>FR: TF 2D_7/2019 du 11 février 2019</w:t>
      </w:r>
    </w:p>
    <w:p>
      <w:r>
        <w:t>IT: TF 2D_7/2019 del 11 febbraio 2019</w:t>
      </w:r>
    </w:p>
    <w:p>
      <w:pPr>
        <w:pStyle w:val="Heading2"/>
      </w:pPr>
      <w:r>
        <w:t>Erwägungen</w:t>
      </w:r>
    </w:p>
    <w:p>
      <w:r>
        <w:rPr>
          <w:b/>
        </w:rPr>
        <w:t>E. 1</w:t>
      </w:r>
    </w:p>
    <w:p>
      <w:r>
        <w:t>Par arrêt du 8 janvier 2019, le Tribunal cantonal du canton de Vaud a rejeté le recours que X.________, ressortissante malgache née en 1987, avait déposé contre la décision rendue le 20 avril 2018 refusant de lui octroyer une autorisation de séjour pour cas de rigueur et prononçant son renvoi de Suisse. Ce refus s'inscrivait également dans la suite logique de la décision entrée en force rendue le 7 février 2018 par l'Office cantonal genevois de l'inspection et des relations de travail qui lui avait refusé la délivrance d'une autorisation de séjour pour activité lucrative en vertu de la préférence indigène.</w:t>
      </w:r>
    </w:p>
    <w:p>
      <w:r>
        <w:rPr>
          <w:b/>
        </w:rPr>
        <w:t>E. 2</w:t>
      </w:r>
    </w:p>
    <w:p>
      <w:r>
        <w:t>Par courrier du 8 février 2019, l'intéressée dépose un recours auprès du Tribunal fédéral contre l'arrêt rendu le 8 janvier 2019 par le Tribunal cantonal du canton de Vaud. Elle expose les raisons pour lesquelles elle souhaite rester, sa bonne intégration en Suisse et les difficultés qu'elle rencontrerait si elle devait retourner à Madagascar. Invoquant l' art. 8 Cst. , elle fait valoir qu'une de ses compatriotes, qui a étudié le même domaine qu'elle en Suisse, a obtenu un permis de séjour.</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t>En raison de leur formulation potestative, les art. 21 et 30 al. 1 let. b de la loi du 16 décembre 2005 sur les étrangers et l'intégration (LEI; RS 142.20, nouveau titre dès le 1er janvier 2019 [RO 2017 6521]) ne confèrent aucun droit à la recourante.</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des art. 21 et 30 LEI au vu de leur formulation potestative (cf. consid. 3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comme le serait un grief tiré de l'arbitraire dans l'appréciation (anticipée) des preuves (cf. ATF 133 I 185 consid. 6 p. 198 s.; 114 Ia 307 consid. 3c p. 312 s.).</w:t>
      </w:r>
    </w:p>
    <w:p>
      <w:r>
        <w:rPr>
          <w:b/>
        </w:rPr>
        <w:t>E. 4.3</w:t>
      </w:r>
    </w:p>
    <w:p>
      <w:r>
        <w:t>Invoquant l' art. 8 al. 1 Cst. , la recourante se plaint de la violation du droit à l'égalité. En tant qu'il s'agit de démontrer la violation du droit à l'égalité en relation avec les conditions de l' art. 21 al. 3 LEI , le grief ne peut pas être séparé du fond et par conséquent ne peut pas être examiné.</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