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2D_73/2011 vom 13. Dezember 2011</w:t>
      </w:r>
    </w:p>
    <w:p>
      <w:r>
        <w:t>Bundesgericht, 2011-12-13, FR</w:t>
      </w:r>
    </w:p>
    <w:p>
      <w:r>
        <w:rPr>
          <w:b/>
        </w:rPr>
        <w:t xml:space="preserve">Quelle: </w:t>
      </w:r>
      <w:r>
        <w:t>https://mcp.opencaselaw.ch/entscheid/bger_2D_73_2011</w:t>
      </w:r>
    </w:p>
    <w:p>
      <w:r>
        <w:t>FR: TF 2D_73/2011 du 13 décembre 2011</w:t>
      </w:r>
    </w:p>
    <w:p>
      <w:r>
        <w:t>IT: TF 2D_73/2011 del 13 dicembre 2011</w:t>
      </w:r>
    </w:p>
    <w:p>
      <w:pPr>
        <w:pStyle w:val="Heading2"/>
      </w:pPr>
      <w:r>
        <w:t>Erwägungen</w:t>
      </w:r>
    </w:p>
    <w:p>
      <w:r>
        <w:rPr>
          <w:b/>
        </w:rPr>
        <w:t>E. 1</w:t>
      </w:r>
    </w:p>
    <w:p>
      <w:r>
        <w:t>Par arrêt du 9 novembre 2011, le Tribunal cantonal du canton de Vaud a rejeté le recours de X.________, ressortissant marocain né en 1986, titulaire d'un diplôme de technicien en réseaux informatiques délivré dans son pays d'origine contre la décision de l'Office de la population du canton de Vaud du 18 avril 2011 révoquant son autorisation de séjour pour études et son renvoi de Suisse.</w:t>
      </w:r>
    </w:p>
    <w:p>
      <w:r>
        <w:rPr>
          <w:b/>
        </w:rPr>
        <w:t>E. 2</w:t>
      </w:r>
    </w:p>
    <w:p>
      <w:r>
        <w:t>Agissant par la voie du recours constitutionnel subsidiaire pour violation des art. 9 et 29 al. 2 Cst. , X.________ demande au Tribunal fédéral de réformer l'arrêt attaqué en ce sens que son autorisation de séjour pour études est renouvelée. Il sollicite l'assistance judiciaire ainsi que l'effet suspensif.</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ni le droit international ni l'art. 27 de la loi fédérale du 16 décembre 2005 sur les étrangers (LEtr; RS 142.20) ne confèrent de droit de séjour au recourant qui a déposé à juste titre un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 recourant, qui n'a pas droit à une autorisation de séjour, ne peut se prévaloir en l'espèce (cf. ci-dessus, consid. 3), l'interdiction de l'arbitraire tirée de l' art. 9 Cst. ne conférant à elle seule pas une position juridique protégée au sens de l' art. 115 let. b LTF ( ATF 133 I 185 consid. 6.1 et 6.3 p. 197 s.).</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invoquant l' art. 29 al. 2 Cst. , le recourant soutient, sous couvert de la violation du droit d'être entendu, que l'instance précédente n'a pas tenu compte des éléments pertinents qu'il a apportés pour démontrer sa motivation sincère (ch. 15 à 20 du mémoire de recours). Ce faisant, il se plaint de l'appréciation arbitraire des preuves par l'instance précédente. Or, ce grief ne peut être séparé du fond. Il est par conséquent irrecevable.</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