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2D_71/2011 vom 11. Juni 2012</w:t>
      </w:r>
    </w:p>
    <w:p>
      <w:r>
        <w:t>Bundesgericht, 2012-06-11, FR</w:t>
      </w:r>
    </w:p>
    <w:p>
      <w:r>
        <w:rPr>
          <w:b/>
        </w:rPr>
        <w:t xml:space="preserve">Quelle: </w:t>
      </w:r>
      <w:r>
        <w:t>https://mcp.opencaselaw.ch/entscheid/bger_2D_71_2011</w:t>
      </w:r>
    </w:p>
    <w:p>
      <w:r>
        <w:t>FR: TF 2D_71/2011 du 11 juin 2012</w:t>
      </w:r>
    </w:p>
    <w:p>
      <w:r>
        <w:t>IT: TF 2D_71/2011 del 11 giugno 2012</w:t>
      </w:r>
    </w:p>
    <w:p>
      <w:pPr>
        <w:pStyle w:val="Heading2"/>
      </w:pPr>
      <w:r>
        <w:t>Erwägungen</w:t>
      </w:r>
    </w:p>
    <w:p>
      <w:r>
        <w:rPr>
          <w:b/>
        </w:rPr>
        <w:t>E. 1</w:t>
      </w:r>
    </w:p>
    <w:p>
      <w:r>
        <w:t>La décision querellée confirme l'irrecevabilité de l'opposition de la recourante à sa note d'examen de droit constitutionnel pour défaut de motivation. Elle est donc liée à l'évaluation des capacités de l'intéressée dans cette branche, de sorte que la voie du recours en matière de droit public n'est pas ouverte ( art. 83 let . t LTF; ATF 136 I 229 consid. 1 p. 231; arrêts 2D_11/2011 du 2 novembre 2011 consid. 1.1; 2D_14/2011 du 29 août 2011 consid.1.1 et les arrêts cités). C'est donc à juste titre que la recourante a déclaré déposer un recours constitutionnel subsidiaire ( art. 113 LTF ).</w:t>
      </w:r>
    </w:p>
    <w:p>
      <w:r>
        <w:rPr>
          <w:b/>
        </w:rPr>
        <w:t>E. 1.1</w:t>
      </w:r>
    </w:p>
    <w:p>
      <w:r>
        <w:t>Le recours constitutionnel subsidiaire peut être formé pour violation des droits constitutionnels ( art. 116 LTF ). Le Tribunal fédéral examine toutefois la violation de droits fondamentaux, ainsi que celle de dispositions de droit cantonal et intercantonal, seulement lorsque ce grief a été invoqué et motivé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A cela s'ajoute qu'en matière d'examen, le Tribunal fédéral revoit l'application des dispositions cantonales régissant la procédure d'examen - pour autant que les griefs soulevés satisfassent aux exigences rappelées ci-dessus - sous l'angle restreint de l'arbitraire ( ATF 131 I 467 consid. 3.1 p. 473 et les références; arrêts 2D_2/2012 du 19 avril 2012 consid. 3.1 2D_14/2011 du 29 août 2011 consid. 1.3). Seuls les griefs de la recourante répondant à ces exigences seront examinés.</w:t>
      </w:r>
    </w:p>
    <w:p>
      <w:r>
        <w:rPr>
          <w:b/>
        </w:rPr>
        <w:t>E. 1.2</w:t>
      </w:r>
    </w:p>
    <w:p>
      <w:r>
        <w:t>L'arrêt attaqué est une décision finale ( art. 117 et 90 LTF ) rendue en dernière instance par un tribunal supérieur ( art. 114, 86 al. 1 let . d et al. 2 LTF). Le recours ne peut porter que sur cet arrêt. Il n'est ainsi pas recevable, dans la mesure où il contient des faits nouveaux ou des conclusions nouvelles qui s'écartent du jugement entrepris ( art. 117 et 99 LTF ). Tel est le cas de la violation alléguée de l' art. 29 Cst. pour retard injustifié en relation avec la durée de traitement de l'opposition, ainsi que des griefs que la recourante soulève dans son écriture du 29 mars 2012 à propos d'autres affaires qui ne concernent pas la présente procédure ou qui ont trait à la présence de professeurs ayant participé aux délibérations du Collège des professeurs du 11 février 2011, pour lesquels elle invoque les art. 30 al. 1 Cst. et 6 § 1 CEDH .</w:t>
      </w:r>
    </w:p>
    <w:p>
      <w:r>
        <w:rPr>
          <w:b/>
        </w:rPr>
        <w:t>E. 1.3</w:t>
      </w:r>
    </w:p>
    <w:p>
      <w:r>
        <w:t>Sous ces réserves, il y a lieu d'entrer en matière sur le recours, déposé en temps utile ( art. 117 et 100 al. 1 LTF ), par la recourante qui a un intérêt juridique à l'annulation ou la modification de la décision attaquée, celle-ci ayant pour conséquence de l'éliminer de la Faculté de droit ( art. 115 LTF ).</w:t>
      </w:r>
    </w:p>
    <w:p>
      <w:r>
        <w:rPr>
          <w:b/>
        </w:rPr>
        <w:t>E. 2</w:t>
      </w:r>
    </w:p>
    <w:p>
      <w:r>
        <w:t>Invoquant l' art. 29 Cst. , la recourante se plaint d'une violation du droit d'être entendu, parce qu'elle n'aurait pas disposé des éléments nécessaires pour former son opposition, du moment que les professeurs chargés de corriger son épreuve de droit constitutionnel ont annoté son travail de façon illisible et ne lui ont remis ni grille d'évaluation, ni corrigé-type, pour lui permettre de comprendre les modalités de fixation de sa note.</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132 II 485 consid. 3.2 p. 494).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2D_55/2010 du 1er mars 2011, consid. 4; 2D_2009 du 26 avril 2010, consid. 2.2 et 1P.742/1999 du 15 février 2000 consid. 4).</w:t>
      </w:r>
    </w:p>
    <w:p>
      <w:r>
        <w:rPr>
          <w:b/>
        </w:rPr>
        <w:t>E. 3</w:t>
      </w:r>
    </w:p>
    <w:p>
      <w:r>
        <w:t>En l'espèce, la Cour de justice a retenu que la recourante avait été en possession de son épreuve de droit constitutionnel annotée sommairement et qu'elle avait ensuite obtenu toutes les explications verbales au sujet de ces annotations et de la fixation de sa note par l'assistant de droit constitutionnel, puis par l'un des professeurs concernés. Elle en a déduit à juste titre que l'intéressée était suffisamment renseignée pour motiver son opposition. La recourante ne prétend pas sérieusement le contraire et n'indique nullement ce qui l'aurait empêchée de se baser sur les explications orales qui lui ont été fournies lors de ces entretiens des 22 et 26 octobre 2010. Il a en effet été établi que les annotations de son épreuve lui ont été largement expliquées et qu'elle a pu se rendre compte sur quels critères avait été faite l'évaluation de son travail. Elle se plaint ainsi en vain d'une violation des art. 18 al. 4 et 24 al. 2 RIO-UNIGE permettant de suspendre le délai d'opposition jusqu'à l'annotation d'un travail d'examen qui n'était pas annoté. En réalité, force est de constater qu'elle cherche, par ce biais, à trouver une excuse à l'absence de motivation de sa propre opposition. Quant à son grief relatif à l'impossibilité d'appliquer la loi en l'absence d'indications écrites sur son épreuve, il est sans fondement, dès lors que le Collège des professeurs n'a pas eu à se prononcer sur le fond du litige, mais a déclaré l'opposition irrecevable pour défaut de motivation.</w:t>
      </w:r>
    </w:p>
    <w:p>
      <w:r>
        <w:t>Dans la mesure où il est recevable, le grief de violation du droit d'être entendu doit donc être rejeté.</w:t>
      </w:r>
    </w:p>
    <w:p>
      <w:r>
        <w:rPr>
          <w:b/>
        </w:rPr>
        <w:t>E. 4</w:t>
      </w:r>
    </w:p>
    <w:p>
      <w:r>
        <w:t>Selon l'art. 19 al. 2 let b RIO-UNIGE, l'opposition doit contenir la désignation de la décision litigieuse, l'exposé des faits motivant l'opposition et les griefs invoqués. A défaut de ces prescriptions, l'opposition sera déclarée irrecevable. Cette exigence de motivation est également mentionnée à l'art. 19 al. 1 du règlement d'études de la Faculté de droit du 15 octobre 2004.</w:t>
      </w:r>
    </w:p>
    <w:p>
      <w:r>
        <w:t>Il est en l'espèce constant que l'opposition de la recourante du 25 octobre 2010 ne contient que des conclusions en annulation du résultat écrit de l'examen de droit constitutionnel, mais ne formule aucun grief, ni même l'esquisse d'une motivation. Dans ces circonstances, les autorités cantonales pouvaient retenir sans arbitraire que son opposition devait être déclarée irrecevable. Contrairement à ce que soutient l'intéressée, elles n'avaient pas à lui impartir un nouveau délai pour satisfaire aux exigences de motivation de l'art. 19 al. 2 let. b RIO-UNIGE, ainsi que le prévoit l'art. 65 al. 2 et 3 de la loi genevoise sur la procédure administrative du 12 septembre 1985 (LPA; RSGE E 5 10). Cette loi n'est en effet applicable qu'à titre supplétif (cf. art. 35 RIO-UNIGE), de sorte que la disposition précitée ne saurait servir de référence dans la procédure d'opposition, dont les règles démontrent que l'absence de motivation doit être sanctionnée d'emblée par une décision d'irrecevabilité, sans que la commission des oppositions ait encore à instruire l'affaire en application de l'art. 28 RIO-UNIGE. A cet égard, la Cour de justice a d'ailleurs relevé que ce n'était qu'à la demande du recourant dont l'acte contenait déjà un exposé des motifs qu'un délai supplémentaire pouvait lui être accordé pour compléter son recours en application de l' art. 65 al. 2 et 3 LPA . Pour le reste, la recourante prétend en vain que les autorités cantonales auraient dû examiner d'office son opposition, sur la base du courrier qu'elle a adressé au doyen de la Faculté de droit, le 26 octobre 2012.</w:t>
      </w:r>
    </w:p>
    <w:p>
      <w:r>
        <w:rPr>
          <w:b/>
        </w:rPr>
        <w:t>E. 5</w:t>
      </w:r>
    </w:p>
    <w:p>
      <w:r>
        <w:t>Au vu de ce qui précède, le recours doit être rejeté dans la mesure de sa recevabilité,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