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2D_64/2012 vom 17. Juli 2013</w:t>
      </w:r>
    </w:p>
    <w:p>
      <w:r>
        <w:t>Bundesgericht, 2013-07-17, FR</w:t>
      </w:r>
    </w:p>
    <w:p>
      <w:r>
        <w:rPr>
          <w:b/>
        </w:rPr>
        <w:t xml:space="preserve">Quelle: </w:t>
      </w:r>
      <w:r>
        <w:t>https://mcp.opencaselaw.ch/entscheid/bger_2D_64_2012</w:t>
      </w:r>
    </w:p>
    <w:p>
      <w:r>
        <w:t>FR: TF 2D_64/2012 du 17 juillet 2013</w:t>
      </w:r>
    </w:p>
    <w:p>
      <w:r>
        <w:t>IT: TF 2D_64/2012 del 17 luglio 2013</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En l'espèce, l'objet du litige sur le fond, qui détermine la recevabilité du recours dirigé contre la décision en matière de dépens (cf. arrêt 2C_152/2010 du 24 août 2010 consid. 1.1), relève du droit des marchés publics.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ce qu'il appartient au recourant de démontrer ( art. 42 al. 2 LTF ; ATF 133 II 396 consid. 2.2 p. 399). Tel n'est pas le cas en l'espèce. En effet, la recourante ne soutient pas que l'on soit en présence d'une question de principe. C'est donc à juste titre qu'elle forme un recours constitutionnel subsidiaire.</w:t>
      </w:r>
    </w:p>
    <w:p>
      <w:r>
        <w:rPr>
          <w:b/>
        </w:rPr>
        <w:t>E. 1.2</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w:t>
      </w:r>
    </w:p>
    <w:p>
      <w:r>
        <w:t>La notion d'intérêt juridique est étroitement liée aux motifs de recours prévus par l' art. 116 LTF , en ce sens que la partie recourante doit être titulaire d'un droit constitutionnel dont elle invoque une violation ( GIOVANNI BIAGGINI, in Commentaire bâlois, Bundesgerichtsgesetz, 2011, n° 8 ad art. 115 LTF ; HANSJÖRG SEILER, in Bundesgerichtsgesetz [BGG], 2007, n° 4 ad art. 115 LTF ).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132 I 140 consid. 1.3.1 p. 143; arrêts 2C_37/2013 du 17 janvier 2013 consid. 5.1; 8C_649/2012 du 14 décembre 2012 consid. 3.2).</w:t>
      </w:r>
    </w:p>
    <w:p>
      <w:r>
        <w:t>En l'espèce, la recourante est une fondation immobilière de droit public (art. 14A al. 1 de loi générale [de la République et canton de Genève] du 4 décembre 1977 sur le logement et la protection des locataires [LGL; RSG I 4 05]). D'après cette disposition, la fondation a pour but principal la construction, l'acquisition et l'exploitation d'immeubles et de logements destinés aux personnes à revenus modestes. La recourante soutient que cette activité est analogue à celle d'un intervenant privé. Elle perd toutefois de vue que lorsque la fondation intervient dans le cadre de l'adjudication de marchés publics, celle-ci agit en tant que détentrice de la puissance publique. A l'inverse d'un particulier, une corporation de droit public ne peut pas demander des offres et adjuger des travaux en toute liberté. Elle est obligée d'appliquer les procédures légales relatives aux marchés publics et de se soumettre à cet égard à un contrôle judiciaire. Ainsi, contrairement à ce que soutient la recourante, sa position dans une procédure de marchés publics ne se confond pas avec celle d'un simple particulier (cf. arrêts 2C_37/2013 du 17 janvier 2013 consid. 5.1; 2D_52/2011 du 10 février 2012 consid. 1.2; 2P.300/2004 du 14décembre 2004 consid. 2.3; 2P.85/2001 du 6 mai 2002 consid. 2.2). Elle n'a par conséquent pas qualité pour recourir à ce titre.</w:t>
      </w:r>
    </w:p>
    <w:p>
      <w:r>
        <w:rPr>
          <w:b/>
        </w:rPr>
        <w:t>E. 1.3</w:t>
      </w:r>
    </w:p>
    <w:p>
      <w:r>
        <w:t>Reste à examiner si la recourante peut se plaindre de la violation de garanties qui lui sont reconnues par les Constitutions cantonale ou fédérale.</w:t>
      </w:r>
    </w:p>
    <w:p>
      <w:r>
        <w:t>L' art. 50 Cst. garantit l'autonomie communale dans les limites fixées par le droit cantonal. L' art. 189 al. 1 let . e Cst. prévoit que le Tribunal fédéral connaît des contestations pour violation de l'autonomie des communes et des autres garanties accordées par les cantons aux corporations de droit public. D'après le Message du Conseil fédéral, "outre l'autonomie communale qui devrait constituer le principal cas d'application, cette norme comprend aussi la garantie constitutionnelle de l'autonomie ou de l'existence d'autres corporations de droit public, telles les Eglises nationales" (FF 1997 I 1 p. 537; cf. aussi: arrêt 2P.342/1994 du 4 juillet 1995, consid. 2c à propos des corporations de droit public, dont l'activité et l'organisation sont sous la surveillance des autorités administratives cantonales, ainsi que l' ATF 109 Ia 173 consid. 2 p. 175 ss).</w:t>
      </w:r>
    </w:p>
    <w:p>
      <w:r>
        <w:t>En l'espèce, la recourante, qui n'est à l'évidence pas une commune mais bien une corporation de droit public, n'a pas indiqué quelle disposition de droit constitutionnel cantonal garantissait, selon elle, son existence ni ne démontre que l'arrêt attaqué l'atteindrait dans son autonomie ou son existence. Sur ce point, le mémoire de la recourante ne répond pas aux exigences de motivation accrues de l' art. 106 al. 2 LTF ( art. 117 LTF ). Partant, la recourante n'a pas qualité pour déposer un recours constitutionnel subsidiaire sous cet angle.</w:t>
      </w:r>
    </w:p>
    <w:p>
      <w:r>
        <w:rPr>
          <w:b/>
        </w:rPr>
        <w:t>E. 1.4</w:t>
      </w:r>
    </w:p>
    <w:p>
      <w:r>
        <w:t>On peut encore se demander si la recourante peut se plaindre par la voie du recours constitutionnel subsidiaire de la violation de ses droits de partie équivalant à un déni de justice formel.</w:t>
      </w:r>
    </w:p>
    <w:p>
      <w:r>
        <w:t>Selon la jurisprudence, le recourant qui n'a pas qualité pour agir au fond peut faire valoir la violation de ses droits de partie, pour autant qu'il ne s'agisse pas de moyens ne pouvant être séparés du fond (continuation de la "Star Praxis", cf. ATF 137 II 305 consid. 2 p. 308; 137 I 128 consid. 3.1.1 p. 130; 135 II 430 consid. 3.2 p. 437). Dans sa jurisprudence, le Tribunal fédéral a cependant jugé que la "Star Praxis" ne s'appliquait par analogie aux corporations de droit public chargées de tâches publiques que si elles invoquaient des griefs en étroite relation avec une violation de la garantie de leur autonomie ou de leur existence ( ATF 121 I 218 consid. 4a p. 223; 120 Ia 95 consid. 2 p. 100; cf. pour les collectivités publiques l' ATF 136 II 383 consid. 3.4 p. 389). Les droits de partie équivalant à un déni de justice formel doivent en effet protéger le citoyen contre les actes de puissance publique et non une autorité agissant dans le cadre de ses compétences d'ordre public contre d'éventuelles erreurs commises dans la procédure devant une autorité supérieure ( ATF 121 I 218 consid. 4a p. 223).</w:t>
      </w:r>
    </w:p>
    <w:p>
      <w:r>
        <w:t>En l'espèce, la recourante ne fait valoir aucun grief en relation avec une violation de son autonomie ou de son existence (cf. supra consid. 1.3). Dans ces conditions, la recourante, qui n'a pas qualité pour recourir au fond, ne peut pas davantage se prévaloir de la violation de ses droits de partie.</w:t>
      </w:r>
    </w:p>
    <w:p>
      <w:r>
        <w:rPr>
          <w:b/>
        </w:rPr>
        <w:t>E. 2</w:t>
      </w:r>
    </w:p>
    <w:p>
      <w:r>
        <w:t>Au vu de ce qui précède, le recours constitutionnel subsidiaire doit être déclaré irrecevable. La recourante, dont l'intérêt patrimonial est en cause ( art. 66 al. 1 et 4 LTF ; arrêt 2D_52/2011 du 10 février 2012 consid. 5), supportera les frais. Il y a lieu de condamner la recourante à verser des dépens à l'intimée qui a pris des conclusions en rejet du recours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