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59/2013 vom 4. Juli 2014</w:t>
      </w:r>
    </w:p>
    <w:p>
      <w:r>
        <w:t>Bundesgericht, 2014-07-04, FR</w:t>
      </w:r>
    </w:p>
    <w:p>
      <w:r>
        <w:rPr>
          <w:b/>
        </w:rPr>
        <w:t xml:space="preserve">Quelle: </w:t>
      </w:r>
      <w:r>
        <w:t>https://mcp.opencaselaw.ch/entscheid/bger_2D_59_2013</w:t>
      </w:r>
    </w:p>
    <w:p>
      <w:r>
        <w:t>FR: TF 2D 59/2013 du 4 juillet 2014</w:t>
      </w:r>
    </w:p>
    <w:p>
      <w:r>
        <w:t>IT: TF 2D 59/2013 del 4 luglio 2014</w:t>
      </w:r>
    </w:p>
    <w:p>
      <w:pPr>
        <w:pStyle w:val="Heading2"/>
      </w:pPr>
      <w:r>
        <w:t>Regeste</w:t>
      </w:r>
    </w:p>
    <w:p>
      <w:r>
        <w:t>Marchés publics; | Droit fondamental</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En l'espèce, l'objet du litige sur le fond, qui détermine la recevabilité du recours dirigé contre la décision de radiation du rôle, relève du droit des marchés publics. L'arrêt attaqué peut donc en principe faire l'objet d'un recours en matière de droit public au Tribunal fédéral, à condition qu'il ne tombe pas sous le coup de l'une des exceptions prévues à l' art. 83 let . f LTF. Selon cette disposition, le recours en matière de droit public n'est recevable contre les décisions en matière de marchés publics qu'à la double condition que la valeur estimée du mandat à attribuer soit égale ou supérieure aux seuils déterminants prévus à cet effet et que la décision attaquée soulève une question juridique de principe, ce qu'il appartient au recourant de démontrer ( art. 42 al. 2 LTF ; ATF 133 II 396 consid. 2.2 p. 399). La recourante soutient - et aucune partie ne prétend le contraire - que la valeur estimée du mandat n'atteint pas le seuil déterminant de l' art. 83 let . f ch. 1 LTF. C'est donc à juste titre qu'elle forme un recours constitutionnel subsidiaire.</w:t>
      </w:r>
    </w:p>
    <w:p>
      <w:r>
        <w:rPr>
          <w:b/>
        </w:rPr>
        <w:t>E. 1.2</w:t>
      </w:r>
    </w:p>
    <w:p>
      <w:r>
        <w:t>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Le recours constitutionnel peut être formé pour violation des droits constitutionnels ( art. 116 LTF ). L'intimée 1 fait à tort valoir que la recourante n'a pas d'intérêt juridique à l'annulation de la décision attaquée. En effet, la recourante peut en tout cas se plaindre, par la voie du recours constitutionnel subsidiaire, de la violation de ses droits de partie équivalant à un déni de justice formel, pour autant qu'il s'agisse de moyens pouvant être séparés du fond ( ATF 137 II 305 consid. 2 p. 308; 137 I 128 consid. 3.1.1 p. 130; 135 II 430 consid. 3.2 p. 436 s.). Ainsi, il convient d'entrer en matière sur son recours en tout cas en ce qu'il concerne les griefs de violation du droit d'être entendu et de déni de justice formel.</w:t>
      </w:r>
    </w:p>
    <w:p>
      <w:r>
        <w:rPr>
          <w:b/>
        </w:rPr>
        <w:t>E. 1.3</w:t>
      </w:r>
    </w:p>
    <w:p>
      <w:r>
        <w:t>Pour le surplus, le recours est dirigé contre une décision finale ( art. 90 et 117 LTF ) rendue par une autorité judiciaire supérieure statuant en dernière instance cantonale ( art. 86 et 114 LTF ). Il convient donc d'entrer en matière.</w:t>
      </w:r>
    </w:p>
    <w:p>
      <w:r>
        <w:rPr>
          <w:b/>
        </w:rPr>
        <w:t>E. 2</w:t>
      </w:r>
    </w:p>
    <w:p>
      <w:r>
        <w:t>La recourante se plaint de ce que la Cour de justice n'a pas statué sur toutes ses conclusions dans la procédure d'adjudication, la Ville de Genève ayant annulé la décision d'adjudication.</w:t>
      </w:r>
    </w:p>
    <w:p>
      <w:r>
        <w:rPr>
          <w:b/>
        </w:rPr>
        <w:t>E. 2.1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 ATF 135 I 6 consid. 2.1 p. 9; 134 I 229 consid. 2.3 p. 232), viole l' art. 29 al. 1 Cst. (arrêts 2C_601/2010 du 21 décembre 2010 consid. 2; 5A_578/2010 du 19 novembre 2010; 5A_279/2010 du 24 juin 2010 consid. 3.3 et les arrêts cités). En outre, le droit d'être entendu découlant de l' art. 29 al. 2 Cst. impose à l'autorité de jugement l'obligation de motiver ses décisions afin que le justiciable puisse les comprendre et exercer ses droits de recours à bon escient. Pour satisfaire cette exigence, il suffit que celle-ci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134 I 83 consid. 4.1 p. 88; 133 III 439 consid. 3.3 p. 445 et les arrêts cités).</w:t>
      </w:r>
    </w:p>
    <w:p>
      <w:r>
        <w:rPr>
          <w:b/>
        </w:rPr>
        <w:t>E. 2.2</w:t>
      </w:r>
    </w:p>
    <w:p>
      <w:r>
        <w:t>Devant l'instance précédente, la recourante avait, dans son mémoire de recours, retenu un nombre important de conclusions. De plus, par courrier du 31 octobre 2013 (parvenu le 4 novembre 2013), elle avait demandé à la Cour de justice d'ordonner des mesures provisionnelles. Elle s'était en particulier opposée à ce que la procédure de recours soit rayée du rôle, faute d'objet, et désirait qu'il soit jugé sur le fond. Or, la Cour de justice, en déclarant sans objet le recours qui était pendant par-devant elle, sans motivation spécifique, n'a pas traité de la conclusion n° 7 de la recourante, malgré la prise de position de cette dernière du 31 octobre 2013 qui rappelait en substance son opposition à une radiation du rôle pure et simple. En ne statuant pas sur l'ensemble des éléments pertinents, au moins succinctement, et en ne prenant pas en compte l'écrit précité, alors qu'elle en avait connaissance au moment de rendre la décision contestée, la Cour de justice a violé le droit d'être entendue de la recourante. Dans les circonstances du cas d'espèce, elle ne pouvait en effet pas estimer, sans plus de motivation, que le recours était devenu sans objet. La décision attaquée doit en conséquence être annulée et la cause renvoyée à la Cour de justice pour que celle-ci statue à nouveau en motivant sa décision.</w:t>
      </w:r>
    </w:p>
    <w:p>
      <w:r>
        <w:rPr>
          <w:b/>
        </w:rPr>
        <w:t>E. 2.3</w:t>
      </w:r>
    </w:p>
    <w:p>
      <w:r>
        <w:t>Le recours doit être admis, sans qu'il y ait lieu d'examiner les autres griefs soulevés par la recourante.</w:t>
      </w:r>
    </w:p>
    <w:p>
      <w:r>
        <w:rPr>
          <w:b/>
        </w:rPr>
        <w:t>E. 3</w:t>
      </w:r>
    </w:p>
    <w:p>
      <w:r>
        <w:t>Au vu de l'issue du litige, les frais seront mis à la charge de la Ville de Genève, dont l'intérêt patrimonial est en cause (cf. art. 66 al. 1 et 4 LTF ). Celle-ci supportera également les dépens dus à la recourante (cf. art. 68 al. 1 LTF ). Ayant renoncé à déposer des conclusions et à se déterminer sur le fond du recours, l'intimée 2 ne doit pas supporter d'émolument judiciaire et n'a pas à verser des dépens en faveur de la recourante (cf. ATF 125 II 86 consid. 8 p. 103). Les frais et dépens seront fixés en tenant compte du fait que le recours est admis pour un motif formel (cf. arrêt 2C_560/2012 du 21 janvier 2013 consid. 5 et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