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2D_57/2012 vom 10. Oktober 2012</w:t>
      </w:r>
    </w:p>
    <w:p>
      <w:r>
        <w:t>Bundesgericht, 2012-10-10, FR</w:t>
      </w:r>
    </w:p>
    <w:p>
      <w:r>
        <w:rPr>
          <w:b/>
        </w:rPr>
        <w:t xml:space="preserve">Quelle: </w:t>
      </w:r>
      <w:r>
        <w:t>https://mcp.opencaselaw.ch/entscheid/bger_2D_57_2012</w:t>
      </w:r>
    </w:p>
    <w:p>
      <w:r>
        <w:t>FR: TF 2D_57/2012 du 10 octobre 2012</w:t>
      </w:r>
    </w:p>
    <w:p>
      <w:r>
        <w:t>IT: TF 2D_57/2012 del 10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28 juin 2007, l'Office cantonal de la population du canton de Genève a refusé d'octroyer à A.X.________, ressortissant du Kosovo, un permis de séjour fondé sur l' art. 13 let . f OLE et prononcé son renvoi. En dernier lieu, un recours de l'intéressé auprès du Tribunal fédéral a été déclaré irrecevable par arrêt 2D_32/2008 du 25 mars 2008. Le 27 mars 2009, l'intéressé a recouru contre une décision de renvoi datée du 9 mars 2009 auprès de la Commission cantonale de recours en matière administrative.</w:t>
      </w:r>
    </w:p>
    <w:p>
      <w:r>
        <w:t>Par décision du 4 septembre 2009, l'Office cantonal de la population du canton de Genève a refusé d'octroyer un permis de séjour à B.X.________, épouse de A.X.________, et à leurs enfants, fondé sur l'art. 30 al. 1 let. b de la loi fédérale du 16 décembre 2005 sur les étrangers (LEtr; RS 142.20). Le 7 octobre 2009, B.X.________ a recouru contre la décision du 4 septembre 2009 auprès de la Commission cantonale de recours en matière administrative du canton de Genève, devenue Tribunal administratif de première instance.</w:t>
      </w:r>
    </w:p>
    <w:p>
      <w:r>
        <w:t>Après avoir joint les recours du 27 mars 2009 et du 7 octobre 2009, le Tribunal administratif de première instance du canton de Genève les a rejetés par arrêt du 1er février 2011.</w:t>
      </w:r>
    </w:p>
    <w:p>
      <w:r>
        <w:rPr>
          <w:b/>
        </w:rPr>
        <w:t>E. 2</w:t>
      </w:r>
    </w:p>
    <w:p>
      <w:r>
        <w:t>Par arrêt du 28 août 2012, la Cour de justice du canton de Genève a rejeté le recours interjeté par A.X.________ et B.X.________ contre l'arrêt du 1er février 2011.</w:t>
      </w:r>
    </w:p>
    <w:p>
      <w:r>
        <w:rPr>
          <w:b/>
        </w:rPr>
        <w:t>E. 3</w:t>
      </w:r>
    </w:p>
    <w:p>
      <w:r>
        <w:t>Agissant par la voie du recours constitutionnel subsidiaire, A.X.________ et B.X.________ ainsi que leurs enfants C.________, D.________ et E.________, demandent au Tribunal fédéral d'annuler l'arrêt rendu le 28 août 2012 par la Cour de justice et de leur accorder une autorisation de séjour fondée sur l'art. 30 al. 1 let. b LEtr.</w:t>
      </w:r>
    </w:p>
    <w:p>
      <w:r>
        <w:rPr>
          <w:b/>
        </w:rPr>
        <w:t>E. 4</w:t>
      </w:r>
    </w:p>
    <w:p>
      <w:r>
        <w:t>Comme l'art. 30 al. 1 let. b LEtr ne confère aucun droit à l'obtention d'un permis de séjour, le recours en matière de droit public est irrecevable en application de l' art. 83 let . c ch. 2 LTF. Il l'est également à l'encontre des décisions de renvoi ( art. 83 let . c ch 4 LTF). C'est donc à bon droit que les recourants ont interjeté un recours constitutionnel subsidiaire.</w:t>
      </w:r>
    </w:p>
    <w:p>
      <w:r>
        <w:rPr>
          <w:b/>
        </w:rPr>
        <w:t>E. 5</w:t>
      </w:r>
    </w:p>
    <w:p>
      <w:r>
        <w:t>Le recours constitutionnel subsidiaire est ouvert pour violation des droits constitutionnels ( art. 116 LTF ). Le grief de violation des droits constitutionnels doit être motivé conformément aux exigences accrues de l' art. 106 al. 2 LTF ( art. 117 LTF ). En l'espèce, les recourants ne se plaignent pas de la violation de droits constitutionnels.</w:t>
      </w:r>
    </w:p>
    <w:p>
      <w:r>
        <w:rPr>
          <w:b/>
        </w:rPr>
        <w:t>E. 6</w:t>
      </w:r>
    </w:p>
    <w:p>
      <w:r>
        <w:t>Le recours est ainsi manifestement irrecevable ( art. 108 al. 1 let. b LTF ) et doit être traité selon la procédure simplifiée de l' art. 108 LTF , sans qu'il y ait lieu d'ordonner un échange d'écritures. Succombant, les recourants doivent supporter les frais de la procédure fédérale ( art. 66 al. 1 LTF ) et n'ont pas droit à des dépens ( art. 68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