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52/2019 vom 7. Oktober 2019</w:t>
      </w:r>
    </w:p>
    <w:p>
      <w:r>
        <w:t>Bundesgericht, 2019-10-07, FR</w:t>
      </w:r>
    </w:p>
    <w:p>
      <w:r>
        <w:rPr>
          <w:b/>
        </w:rPr>
        <w:t xml:space="preserve">Quelle: </w:t>
      </w:r>
      <w:r>
        <w:t>https://mcp.opencaselaw.ch/entscheid/bger_2D_52_2019</w:t>
      </w:r>
    </w:p>
    <w:p>
      <w:r>
        <w:t>FR: TF 2D 52/2019 du 7 octobre 2019</w:t>
      </w:r>
    </w:p>
    <w:p>
      <w:r>
        <w:t>IT: TF 2D 52/2019 del 7 ottobre 2019</w:t>
      </w:r>
    </w:p>
    <w:p>
      <w:pPr>
        <w:pStyle w:val="Heading2"/>
      </w:pPr>
      <w:r>
        <w:t>Regeste</w:t>
      </w:r>
    </w:p>
    <w:p>
      <w:r>
        <w:t>Refus d'octroi d'une autorisation de séjour | Responsabilité de l'État</w:t>
      </w:r>
    </w:p>
    <w:p>
      <w:pPr>
        <w:pStyle w:val="Heading2"/>
      </w:pPr>
      <w:r>
        <w:t>Erwägungen</w:t>
      </w:r>
    </w:p>
    <w:p>
      <w:r>
        <w:rPr>
          <w:b/>
        </w:rPr>
        <w:t>E. 1</w:t>
      </w:r>
    </w:p>
    <w:p>
      <w:r>
        <w:t>Par arrêt du 27 août 2019, la Chambre administrative de la Cour de justice de la République et canton de Genève (ci-après: la Cour de justice) a rejeté un recours que A.________, ressortissant kosovar né en 1967, avait interjeté contre un jugement du Tribunal administratif de première instance de la République et canton de Genève du 12 mars 2018 confirmant une décision de refus d'octroi d'une autorisation de séjour pour cas individuel d'extrême gravité rendue le 28 juin 2018 par l'Office cantonal de la population et des migrations de la République et canton de Genève.</w:t>
      </w:r>
    </w:p>
    <w:p>
      <w:r>
        <w:rPr>
          <w:b/>
        </w:rPr>
        <w:t>E. 2</w:t>
      </w:r>
    </w:p>
    <w:p>
      <w:r>
        <w:t>Agissant par la voie du recours constitutionnel subsidiaire, A.________ demande au Tribunal fédéral, sous suite de frais et dépens, outre l'assistance judiciaire et l'effet suspensif, d'annuler l'arrêt de la Cour de justice du 27 août 2019 et de lui octroyer une autorisation de séjour; subsidiairement de constater l'illicéité et l'inexigibilité de son renvoi au Kosovo; plus subsidiairement de renvoyer la cause à l'autorité précédente pour nouvelle décision dans le sens des considérants.</w:t>
      </w:r>
    </w:p>
    <w:p>
      <w:r>
        <w:rPr>
          <w:b/>
        </w:rPr>
        <w:t>E. 3</w:t>
      </w:r>
    </w:p>
    <w:p>
      <w:r>
        <w:t>Selon l' art. 83 let . c ch. 4 et 5 LTF, en droit des étrangers, le recours en matière de droit public est irrecevable à l'encontre des décisions qui concernent le renvoi ou les dérogations aux conditions d'admission. En l'occurrence, le recourant ne saurait se prévaloir, dans le cadre d'un recours en matière de droit public, d'une dérogation contenue à l' art. 30 LEI (RS 142.20), ni de l'illicéité, respectivement de l'inexigibilité de son renvoi au Kosovo. Le recours en matière de droit public est ainsi irrecevable et c'est à juste titre que le recourant a formé un recours constitutionnel subsidiaire ( art. 116 LTF a contrario ).</w:t>
      </w:r>
    </w:p>
    <w:p>
      <w:r>
        <w:rPr>
          <w:b/>
        </w:rPr>
        <w:t>E. 4</w:t>
      </w:r>
    </w:p>
    <w:p>
      <w:r>
        <w:t>Le recours constitutionnel subsidiaire peut être formé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 art. 30 LEI ,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si le recourant soulève le grief d'établissement inexact des faits, celui-ci ne peut cependant pas être séparé du fond. En effet, en cas d'admission, cela reviendrait à devoir examiner sa situation sous l'angle de l' art. 30 LEI , ce qui est précisément exclu. En outre, s'il cite l' art. 3 CEDH , le recourant n'explique en rien en quoi cette disposition serait violée. Cette (absence de) motivation ne réunit par conséquent pas les conditions prévues par l' art. 106 al. 2 LTF , par renvoi de l' art. 117 LTF .</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