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2D_50/2010 vom 10. November 2010</w:t>
      </w:r>
    </w:p>
    <w:p>
      <w:r>
        <w:t>Bundesgericht, 2010-11-10, FR</w:t>
      </w:r>
    </w:p>
    <w:p>
      <w:r>
        <w:rPr>
          <w:b/>
        </w:rPr>
        <w:t xml:space="preserve">Quelle: </w:t>
      </w:r>
      <w:r>
        <w:t>https://mcp.opencaselaw.ch/entscheid/bger_2D_50_2010</w:t>
      </w:r>
    </w:p>
    <w:p>
      <w:r>
        <w:t>FR: TF 2D_50/2010 du 10 novembre 2010</w:t>
      </w:r>
    </w:p>
    <w:p>
      <w:r>
        <w:t>IT: TF 2D_50/2010 del 10 novembre 2010</w:t>
      </w:r>
    </w:p>
    <w:p>
      <w:pPr>
        <w:pStyle w:val="Heading2"/>
      </w:pPr>
      <w:r>
        <w:t>Erwägungen</w:t>
      </w:r>
    </w:p>
    <w:p>
      <w:r>
        <w:rPr>
          <w:b/>
        </w:rPr>
        <w:t>E. 1</w:t>
      </w:r>
    </w:p>
    <w:p>
      <w:r>
        <w:t>Le recours en matière de droit public est irrecevable contre les décisions en matière de droit des étrangers qui concernent une autorisation à laquelle ni le droit fédéral ni le droit international ne donnent un droit ( art. 83 let . c ch. 2 LTF). Cette restriction vaut également pour les décisions incidentes de nature procédurale, par exemple en matière d'assistance judiciaire ou d'effet suspensif; autrement dit, le recours n'est recevable à l'encontre de telles décisions que si la contestation matérielle a pour objet un véritable droit à une autorisation de séjour, par opposition à une simple expectative (cf. arrêts 2D_144/2008 du 23 mars 2009, consid. 2; 2C_597/2008 du 24 septembre 2008, consid. 1.1). En l'espèce, les recourants avaient fondé leur demande d'autorisation de séjour sur l' art. 36 aOLE qui ne leur confère aucun droit. Le recours en matière de droit public étant irrecevable, c'est à juste titre qu'ils ont déposé un recours constitutionnel subsidiaire ( art. 113 LTF ).</w:t>
      </w:r>
    </w:p>
    <w:p>
      <w:r>
        <w:rPr>
          <w:b/>
        </w:rPr>
        <w:t>E. 2</w:t>
      </w:r>
    </w:p>
    <w:p>
      <w:r>
        <w:t>D'après l' art. 115 LTF , a qualité pour former un recours constitutionnel quiconque a pris part à la procédure devant l'autorité précédente ou a été privé de la possibilité de le faire et a un intérêt juridique à l'annulation ou à la modification de la décision attaquée.</w:t>
      </w:r>
    </w:p>
    <w:p>
      <w:r>
        <w:t>Les recourants perdent de vue en l'espèce qu'ils ne sont nullement touchés par la décision qui refuse d'octroyer des dépens à leur mandataire. Ils ne disposent pas même d'un intérêt de fait à voir leur avocat bénéficier d'une indemnité, dans la mesure où ils pourraient ultérieurement être appelés à rembourser le montant de l'aide dont ils ont bénéficié par ce biais. Ils peuvent encore moins se prévaloir d'un intérêt juridique. En effet, lorsqu'un défenseur d'office est accordé à la partie indigente, il se crée un rapport juridique de droit public entre l'Etat et l'avocat désigné, qui confère à ce dernier une prétention à être indemnisé aux conditions prévues par le droit cantonal. Le défenseur d'office n'a pas le droit de se faire indemniser par la partie indigente et n'est en particulier pas autorisé à lui demander un complément de l'indemnisation qu'il reçoit de l'Etat; un versement par la partie indigente est exclu même si l'indemnité de l'Etat ne correspond pas à l'entier des honoraires. Un défenseur d'office qui violerait ces règles serait passible d'une procédure disciplinaire ( ATF 122 II 322 consid. 3b p. 325 s.; 108 Ia 11 consid. 1 p. 12). Le bénéficiaire de l'assistance judiciaire demeure étranger au rapport entre le défenseur et l'Etat; seul l'avocat dispose ainsi d'un intérêt juridiquement protégé à se plaindre d'une indemnité trop faible devant le Tribunal fédéral. La jurisprudence énonçant ce principe est constante (arrêt du Tribunal fédéral M 2/06 du 17 septembre 2007, consid. 5.3.2; ATF 110 V 360 , consid. 2 p. 363; arrêts 5D_88/2008 du 14 août 2008, consid. 1; 2A.29/1997 du 18.8.1997).</w:t>
      </w:r>
    </w:p>
    <w:p>
      <w:r>
        <w:t>En l'espèce, il ne fait aucun doute que ce sont les recourants qui ont agi par le biais de leur avocat et non ce dernier, en son nom propre.</w:t>
      </w:r>
    </w:p>
    <w:p>
      <w:r>
        <w:rPr>
          <w:b/>
        </w:rPr>
        <w:t>E. 3</w:t>
      </w:r>
    </w:p>
    <w:p>
      <w:r>
        <w:t>Les considérants qui précèdent conduisent à l'irrecevabilité du recours. Le recours se révélant d'emblée dénué de chances de succès la demande d'assistance judiciaire est rejetée (cf. art. 64 LTF ). Succombant, les recourants doivent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