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49/2018 vom 10. Dezember 2018</w:t>
      </w:r>
    </w:p>
    <w:p>
      <w:r>
        <w:t>Bundesgericht, 2018-12-10, FR</w:t>
      </w:r>
    </w:p>
    <w:p>
      <w:r>
        <w:rPr>
          <w:b/>
        </w:rPr>
        <w:t xml:space="preserve">Quelle: </w:t>
      </w:r>
      <w:r>
        <w:t>https://mcp.opencaselaw.ch/entscheid/bger_2D_49_2018</w:t>
      </w:r>
    </w:p>
    <w:p>
      <w:r>
        <w:t>FR: TF 2D 49/2018 du 10 décembre 2018</w:t>
      </w:r>
    </w:p>
    <w:p>
      <w:r>
        <w:t>IT: TF 2D 49/2018 del 10 dicembre 2018</w:t>
      </w:r>
    </w:p>
    <w:p>
      <w:pPr>
        <w:pStyle w:val="Heading2"/>
      </w:pPr>
      <w:r>
        <w:t>Regeste</w:t>
      </w:r>
    </w:p>
    <w:p>
      <w:r>
        <w:t>Refus d'octroi d'une autorisation de séjour de courte durée et renvoi de Suisse | Droit de cité et droit des étrangers</w:t>
      </w:r>
    </w:p>
    <w:p>
      <w:pPr>
        <w:pStyle w:val="Heading2"/>
      </w:pPr>
      <w:r>
        <w:t>Erwägungen</w:t>
      </w:r>
    </w:p>
    <w:p>
      <w:r>
        <w:rPr>
          <w:b/>
        </w:rPr>
        <w:t>E. 1</w:t>
      </w:r>
    </w:p>
    <w:p>
      <w:r>
        <w:t>Par arrêt du 30 octobre 2018, le Tribunal cantonal du canton de Vaud a rejeté le recours que X.________ avait déposé contre la décision du 30 mai 2018 du Service de la population du canton de Vaud refusant de lui octroyer une autorisation de courte durée pour recherches d'emploi au sens de l'art. 21 al. 3 LEtr et prononçant son renvoi de Suisse.</w:t>
      </w:r>
    </w:p>
    <w:p>
      <w:r>
        <w:rPr>
          <w:b/>
        </w:rPr>
        <w:t>E. 2</w:t>
      </w:r>
    </w:p>
    <w:p>
      <w:r>
        <w:t>Agissant par la voie du recours constitutionnel subsidiaire, X.________ demande au Tribunal fédéral, sous suite de frais et dépens, d'annuler l'arrêt rendu le 30 octobre 2018 par le Tribunal cantonal du canton de Vaud. Il se plaint de la violation de l'art. 21 al. 3 LEtr ainsi que de la violation de droits de partie équivalant à un déni de justice déduits de la Constitution fédérale (art. 7 à 36), de la CEDH ou du Pacte ONU III ou encore des Constitutions cantonales.</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En raison de sa formulation potestative, l'art. 21 LEtr ne confère aucun droit au recourant. C'est à bon droit que le recourant a déposé un recours constitutionnel subsidiaire ( art. 113 LTF ).</w:t>
      </w:r>
    </w:p>
    <w:p>
      <w:r>
        <w:rPr>
          <w:b/>
        </w:rPr>
        <w:t>E. 4</w:t>
      </w:r>
    </w:p>
    <w:p>
      <w:r>
        <w:t>Le recours constitutionnel subsidiaire est ouvert pour violation des droits constitutionnels ( art. 116 LTF ), qui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Le recourant, qui ne peut se prévaloir d'un droit tiré de l'art. 21 LEtr (cf. consid. 3 ci-dessus),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évoque certes la possibilité de se plaindre de la violation de ses droits de partie mais n'invoque concrètement aucun droit spécifique ni n'en motive du reste une éventuelle violation en ce qu'il se borne à indiquer dans quels instruments de tels droits peuvent figurer, ce qui ne répond pas aux exigences accrues de motivation des art. 117 et 106 al. 2 LTF .</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