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45/2021 vom 11. November 2021</w:t>
      </w:r>
    </w:p>
    <w:p>
      <w:r>
        <w:t>Bundesgericht, 2021-11-11, DE</w:t>
      </w:r>
    </w:p>
    <w:p>
      <w:r>
        <w:rPr>
          <w:b/>
        </w:rPr>
        <w:t xml:space="preserve">Quelle: </w:t>
      </w:r>
      <w:r>
        <w:t>https://mcp.opencaselaw.ch/entscheid/bger_2D_45_2021</w:t>
      </w:r>
    </w:p>
    <w:p>
      <w:r>
        <w:t>FR: TF 2D 45/2021 du 11 novembre 2021</w:t>
      </w:r>
    </w:p>
    <w:p>
      <w:r>
        <w:t>IT: TF 2D 45/2021 del 11 novembre 2021</w:t>
      </w:r>
    </w:p>
    <w:p>
      <w:pPr>
        <w:pStyle w:val="Heading2"/>
      </w:pPr>
      <w:r>
        <w:t>Regeste</w:t>
      </w:r>
    </w:p>
    <w:p>
      <w:r>
        <w:t>Vermögensrechtliche Verantwortlichkeit der Gemeinde | Staatshaftung</w:t>
      </w:r>
    </w:p>
    <w:p>
      <w:pPr>
        <w:pStyle w:val="Heading2"/>
      </w:pPr>
      <w:r>
        <w:t>Erwägungen</w:t>
      </w:r>
    </w:p>
    <w:p>
      <w:r>
        <w:rPr>
          <w:b/>
        </w:rPr>
        <w:t>E. 1</w:t>
      </w:r>
    </w:p>
    <w:p>
      <w:r>
        <w:t>A.A.________ und B.A.________ besitzen ein Einfamilienhaus mit Garten in der Einwohnergemeinde (EG) C.________/BE. Eine über dieses Grundstück führende Wasserleitung wies im Dezember 2018 ein Leck auf, das mittels Bohrungen geortet und repariert werden musste. Dabei wurden bei einer Weisstanne die Wurzeln teilweise verletzt und Äste entfernt. Auf Anweisung von A.A.________ und B.A.________ liess die Gemeinde die Weisstanne durch ein Forstunternehmen fällen und übernahm die entsprechenden Kosten von Fr. 646.20. A.A.________ und B.A.________ liessen daraufhin ihren Garten mit Ersatzvegetation bepflanzen und stellten der EG C.________/BE Rechnung in der Höhe von Fr. 6'800.--. Die EG C.________/BE überwies A.A.________ und B.A.________ am 10. Mai 2019 Fr. 1'800.-- als Ersatz für den entstandenen Schaden. Mit Verfügung vom 28. Mai 2019 hielt die Gemeinde fest, sie übernehme den Ersatz des Schadens in der Höhe von maximal Fr. 1'800.--; einen weitergehenden Schadenersatz lehnte sie ab. Hiergegen gelangten A.A.________ und B.A.________ erfolglos an das Regierungsstatthalteramt Oberaargau und das Verwaltungsgericht des Kantons Bern. Sie beantragen vor Bundesgericht sinngemäss, dessen Urteil vom 14. Oktober 2021 aufzuheben.</w:t>
      </w:r>
    </w:p>
    <w:p>
      <w:r>
        <w:rPr>
          <w:b/>
        </w:rPr>
        <w:t>E. 2.1</w:t>
      </w:r>
    </w:p>
    <w:p>
      <w:r>
        <w:t>In vermögensrechtlichen Angelegenheiten auf dem Gebiet der Staatshaftung ist die Beschwerde in öffentlich-rechtlichen Angelegenheiten ausgeschlossen, wenn der Streitwert weniger als Fr. 30'000.-- beträgt und sich keine Rechtsfragen von grundsätzlicher Bedeutung stellen (Art. 85 Abs. 1 lit. a i.V.m. Abs. 2 Bundesgerichtsgesetz [BGG; SR 173.110]). Die Beschwerdeführer machen zwar geltend, dass das ganze "Schadensspektrum" bei Fr. 100'000.-- beginne, räumen aber ein, dass sie den Schaden mit Fr. 6'800.-- zu ihrer Zufriedenheit hätten reparieren lassen. Sie legen nicht dar, inwiefern sich Grundsatzfragen im Sinn von Art. 85 Abs. 2 BGG stellen würden. Ihre Eingabe ist deshalb als subsidiäre Verfassungsbeschwerde entgegenzunehmen ( Art. 113 ff. BGG ).</w:t>
      </w:r>
    </w:p>
    <w:p>
      <w:r>
        <w:rPr>
          <w:b/>
        </w:rPr>
        <w:t>E. 2.2</w:t>
      </w:r>
    </w:p>
    <w:p>
      <w:r>
        <w:t>Gemäss Art. 42 Abs. 1 und 2 BGG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In Bezug auf die Verletzung von Grundrechten, welche einzig mit der subsidiären Verfassungsbeschwerde geltend gemacht werden können ( Art. 116 BGG ), gilt eine qualifizierte Rüge- und Substanziierungspflicht ( BGE 139 I 229 E. 2.2 S. 232; 136 II 304 E. 2.5 S. 314). Die Beschwerdeführer beantragen, den angefochtenen Entscheid zu "überprüfen", legen aber nicht dar, inwiefern dieser ihre verfassungsmässigen Rechte verletzen würde; entsprechende Verletzungen sind auch nicht ersichtlich. Auf die Beschwerde ist deshalb durch den Präsidenten im Verfahren nach Art. 108 Abs. 1 lit. b BGG nicht einzutreten.</w:t>
      </w:r>
    </w:p>
    <w:p>
      <w:r>
        <w:rPr>
          <w:b/>
        </w:rPr>
        <w:t>E. 3</w:t>
      </w:r>
    </w:p>
    <w:p>
      <w:r>
        <w:t>Dem Verfahrensausgang entsprechend werden die Beschwerdeführer unter solidarischer Haftung kostenpflichtig (Art. 66 Abs. 1 i.V.m. Abs. 5 BGG). Es sind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