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2D_43/2021 vom 15. Oktober 2021</w:t>
      </w:r>
    </w:p>
    <w:p>
      <w:r>
        <w:t>Bundesgericht, 2021-10-15, DE</w:t>
      </w:r>
    </w:p>
    <w:p>
      <w:r>
        <w:rPr>
          <w:b/>
        </w:rPr>
        <w:t xml:space="preserve">Quelle: </w:t>
      </w:r>
      <w:r>
        <w:t>https://mcp.opencaselaw.ch/entscheid/bger_2D_43_2021</w:t>
      </w:r>
    </w:p>
    <w:p>
      <w:r>
        <w:t>FR: TF 2D_43/2021 du 15 octobre 2021</w:t>
      </w:r>
    </w:p>
    <w:p>
      <w:r>
        <w:t>IT: TF 2D_43/2021 del 15 ottobre 2021</w:t>
      </w:r>
    </w:p>
    <w:p>
      <w:pPr>
        <w:pStyle w:val="Heading2"/>
      </w:pPr>
      <w:r>
        <w:t>Erwägungen</w:t>
      </w:r>
    </w:p>
    <w:p>
      <w:r>
        <w:rPr>
          <w:b/>
        </w:rPr>
        <w:t>E. 1.1</w:t>
      </w:r>
    </w:p>
    <w:p>
      <w:r>
        <w:t>Die Beschwerdeführerin führt im Wesentlichen aus, die kantonalen Behörden hätten ihr eine Härtefallbewilligung erteilen müssen ( Art. 30 Abs. 1 lit. b AIG ). Bei der Erteilung einer solchen Bewilligung geht es um einen kantonalen Ermessensentscheid im Rahmen von Art. 96 AIG (vgl. Urteil 2C_136/2017 vom 20. November 2017 E. 1.4.1, m.w.H.). Da sich ein Anspruch auf Aufenthalt (auch) aus dem Willkürverbot, dem Verhältnismässigkeitsprinzip und dem Gebot der Rechtsgleichheit nicht ableiten lässt, steht die Beschwerde in öffentlich-rechtlichen Angelegenheiten gegen den entsprechenden kantonal letztinstanzlichen richterlichen Entscheid in der Sache nicht zur Verfügung ( Art. 83 lit. c Ziff. 2 BGG ; vgl. BGE 137 II 305 E. 2). Auch über den Weg der subsidiären Verfassungsbeschwerde können solche Entscheide materiell keiner Überprüfung durch das Bundesgericht zugeführt werden ( BGE 133 I 185 E. 6.1). Zulässig wäre die subsidiäre Verfassungsbeschwerde zwar insoweit, als die Verletzung verfahrensrechtlicher Vorschriften gerügt würde, die einer formellen Rechtsverweigerung gleichkommen würde und die das Gericht von der Bewilligungsfrage getrennt beurteilen könnte (sog. Star-Praxis; BGE 137 II 305 E. 2 und 4; Urteil 2C_643/2018 vom 8. Januar 2019 E. 1.1); in dieser Hinsicht enthält die Beschwerde jedoch keine hinreichend substanziierten Rügen. Soweit die Beschwerdeführerin beantragt, ihr sei eine Härtefallbewilligung zu erteilen, ist die Beschwerde deshalb offensichtlich unzulässig ( Art. 108 Abs. 1 lit. a BGG ).</w:t>
      </w:r>
    </w:p>
    <w:p>
      <w:r>
        <w:rPr>
          <w:b/>
        </w:rPr>
        <w:t>E. 1.2</w:t>
      </w:r>
    </w:p>
    <w:p>
      <w:r>
        <w:t>Die Beschwerdeführerin stellt im Sinne eines Eventualbegehrens den Antrag, die vorläufige Aufnahme anzuordnen. Dieser Antrag sprengt den Gegenstand des vorliegenden Verfahrens: Die Anordnung der vorläufigen Aufnahme war nicht Gegenstand des angefochtenen Urteils und fällt auch nicht in die Zuständigkeit der kantonalen Behörden, sondern in diejenige des Staatssekretariats für Migration ( Art. 83 Abs. 1 AIG ) bzw. - im Beschwerdeverfahren - in diejenige des Bundesverwaltungsgerichts ( Art. 31 VGG i.V.m. Art. 5 VwVG ). Im Übrigen können Entscheide des Bundesverwaltungsgerichts über die vorläufige Aufnahme weder mit der Beschwerde in öffentlich-rechtlichen Angelegenheiten ( Art. 83 lit. c Ziff. 3 BGG ) noch mit der subsidiären Verfassungsbeschwerde ( Art. 113 BGG e contrario) an das Bundesgericht weitergezogen werden. Auch dieser Antrag der Beschwerdeführerin erweist sich als offensichtlich unzulässig ( Art. 108 Abs. 1 lit. a BGG ).</w:t>
      </w:r>
    </w:p>
    <w:p>
      <w:r>
        <w:rPr>
          <w:b/>
        </w:rPr>
        <w:t>E. 1.3</w:t>
      </w:r>
    </w:p>
    <w:p>
      <w:r>
        <w:t>Auf die Beschwerde ist nach dem Gesagten nicht einzutreten.</w:t>
      </w:r>
    </w:p>
    <w:p>
      <w:r>
        <w:rPr>
          <w:b/>
        </w:rPr>
        <w:t>E. 2</w:t>
      </w:r>
    </w:p>
    <w:p>
      <w:r>
        <w:t>Das Gesuch um Erteilung der aufschiebenden Wirkung wird mit vorliegendem Urteil gegenstandslos. Dem Gesuch um Gewährung der unentgeltlichen Rechtspflege kann aufgrund der Aussichtslosigkeit der Beschwerde nicht entsprochen werden ( Art. 64 Abs. 1 und 2 BGG ). Die Gerichtskosten sind damit der Beschwerdeführerin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