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41/2012 vom 6. August 2012</w:t>
      </w:r>
    </w:p>
    <w:p>
      <w:r>
        <w:t>Bundesgericht, 2012-08-06, DE</w:t>
      </w:r>
    </w:p>
    <w:p>
      <w:r>
        <w:rPr>
          <w:b/>
        </w:rPr>
        <w:t xml:space="preserve">Quelle: </w:t>
      </w:r>
      <w:r>
        <w:t>https://mcp.opencaselaw.ch/entscheid/bger_2D_41_2012</w:t>
      </w:r>
    </w:p>
    <w:p>
      <w:r>
        <w:t>FR: TF 2D 41/2012 du 6 août 2012</w:t>
      </w:r>
    </w:p>
    <w:p>
      <w:r>
        <w:t>IT: TF 2D 41/2012 del 6 agosto 2012</w:t>
      </w:r>
    </w:p>
    <w:p>
      <w:pPr>
        <w:pStyle w:val="Heading2"/>
      </w:pPr>
      <w:r>
        <w:t>Regeste</w:t>
      </w:r>
    </w:p>
    <w:p>
      <w:r>
        <w:t>Erlass der Kantons- und Gemeindesteuern sowie der direkten Bundessteuer 2007 und 2008 | Öffentliche Finanzen &amp; Abgaberecht</w:t>
      </w:r>
    </w:p>
    <w:p>
      <w:pPr>
        <w:pStyle w:val="Heading2"/>
      </w:pPr>
      <w:r>
        <w:t>Erwägungen</w:t>
      </w:r>
    </w:p>
    <w:p>
      <w:r>
        <w:rPr>
          <w:b/>
        </w:rPr>
        <w:t>E. 1</w:t>
      </w:r>
    </w:p>
    <w:p>
      <w:r>
        <w:t>Am 15. März bzw. 5. August 2009 ersuchte X.________ um Erlass für die Kantons- und Gemeindesteuern 2007 und 2008 (Fr. 3'368.40 bzw. Fr. 2'634.70) sowie für die direkte Bundessteuer 2007 und 2008 (Fr. 109.35 bzw. Fr. 87.--). Sodann beantragte sie am 7. April 2011, es seien ihr auch die Kantons- und Gemeindesteuern 2009 (Fr. 4'178.80) sowie die direkte Bundessteuer 2009 (Fr. 141.40) zu erlassen. Die Gesuche wurden abgewiesen, ebenso die jeweiligen diesbezüglichen Rechtsmittel durch die Steuerrekurskommission des Kantons Bern (Entscheide vom 12. August 2011 und vom 4. April 2012). Mit zwei Urteilen des Einzelrichters vom 29. Juni 2012 wies das Verwaltungsgericht des Kantons Bern die diesbezüglichen Beschwerden im Wesentlichen ab (ein Urteil betreffend die Steuern 2007 und 2008, ein Urteil betreffend die Steuern 2009). Mit Eingabe vom 2. August 2012 gelangte X.________ unter Bezugnahme auf die beiden verwaltungsgerichtlichen Urteile an das Bundesgericht mit der Bitte, ihre Situation noch einmal zu überprüfen. Es ist weder ein Schriftenwechsel noch sind andere Instruktionsmassnahmen angeordnet worden.</w:t>
      </w:r>
    </w:p>
    <w:p>
      <w:r>
        <w:rPr>
          <w:b/>
        </w:rPr>
        <w:t>E. 2.1</w:t>
      </w:r>
    </w:p>
    <w:p>
      <w:r>
        <w:t>Angefochten sind zwei Urteile, weshalb das Bundesgericht zwei Verfahren eröffnet hat. Die Verfahrensbeteiligten sowie der Streitgegenstand beider Verfahren stimmen überein; ohnehin ist nur eine Beschwerdeschrift eingereicht worden. Die Verfahren sind deshalb zu vereinigen (vgl. Art. 24 Abs. 1 BZP in Verbindung mit Art. 71 BGG ).</w:t>
      </w:r>
    </w:p>
    <w:p>
      <w:r>
        <w:rPr>
          <w:b/>
        </w:rPr>
        <w:t>E. 2.2</w:t>
      </w:r>
    </w:p>
    <w:p>
      <w:r>
        <w:t>Das angefochtene Urteil hat den Erlass von Steuern zum Gegenstand. Gemäss Art. 83 lit. m BGG ist die Beschwerde in öffentlich-rechtlichen Angelegenheiten unzulässig gegen Entscheide über die Stundung und den Erlass von Abgaben. Damit steht als bundesrechtliches Rechtsmittel vorliegend nur die subsidiäre Verfassungsbeschwerde zur Verfügung ( Art. 113 BGG ), worauf das Verwaltungsgericht in der Rechtsmittelbelehrung hingewiesen hat. Mit der Verfassungsbeschwerde kann bloss die Verletzung von verfassungsmässigen Rechten gerügt werden ( Art. 116 BGG ). Entsprechende Rügen bedürfen spezieller Geltendmachung und Begründung ( Art. 106 Abs. 2 BGG ). Die Beschwerdeführerin nennt kein verfassungsmässiges Recht, das durch die angefochtenen Urteile verletzt worden sein könnte. Die Beschwerde enthält mithin keine hinreichende Begründung ( Art. 108 Abs. 1 lit. b BGG ). Der Beschwerde wäre auch im Eintretensfall kein Erfolg beschieden. Es ist nicht ersichtlich, inwiefern sich die schlüssigen Erwägungen der Vorinstanz (Sinn und Zweck des Erlassverfahrens; Berechnung der massgeblichen Einnahmen und Ausgaben, dabei Unterschiede zur im Zusammenhang mit Ergänzungsleistungen zum Zuge kommenden Berechnungsweise; Beurteilung der individuellen finanziellen Situation der Beschwerdeführerin) erfolgreich als verfassungswidrig rügen liessen. Zudem fehlte der Beschwerdeführerin weitgehend die Legitimation zur Anfechtung der beiden Urteile, soweit sie den Erlass der direkten Bundessteuer zum Gegenstand haben, besteht doch diesbezüglich kein Rechtsanspruch und mithin kein rechtlich geschütztes Interesse im Sinne von Art. 115 lit. b BGG (Urteil 2D_39/2010 vom 18. August 2010 E. 2, s. dazu BGE 133 I 185 ).</w:t>
      </w:r>
    </w:p>
    <w:p>
      <w:r>
        <w:rPr>
          <w:b/>
        </w:rPr>
        <w:t>E. 2.3</w:t>
      </w:r>
    </w:p>
    <w:p>
      <w:r>
        <w:t>Auf die Beschwerde ist mit Entscheid des Einzelrichters im vereinfachten Verfahren gemäss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