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2D_40/2020 vom 16. September 2020</w:t>
      </w:r>
    </w:p>
    <w:p>
      <w:r>
        <w:t>Bundesgericht, 2020-09-16, FR</w:t>
      </w:r>
    </w:p>
    <w:p>
      <w:r>
        <w:rPr>
          <w:b/>
        </w:rPr>
        <w:t xml:space="preserve">Quelle: </w:t>
      </w:r>
      <w:r>
        <w:t>https://mcp.opencaselaw.ch/entscheid/bger_2D_40_2020</w:t>
      </w:r>
    </w:p>
    <w:p>
      <w:r>
        <w:t>FR: TF 2D_40/2020 du 16 septembre 2020</w:t>
      </w:r>
    </w:p>
    <w:p>
      <w:r>
        <w:t>IT: TF 2D_40/2020 del 16 settembre 2020</w:t>
      </w:r>
    </w:p>
    <w:p>
      <w:pPr>
        <w:pStyle w:val="Heading2"/>
      </w:pPr>
      <w:r>
        <w:t>Erwägungen</w:t>
      </w:r>
    </w:p>
    <w:p>
      <w:r>
        <w:rPr>
          <w:b/>
        </w:rPr>
        <w:t>E. 1</w:t>
      </w:r>
    </w:p>
    <w:p>
      <w:r>
        <w:t>Par arrêt du 7 juillet 2020, la Chambre administrative de la Cour de justice du canton de Genève (ci-après: la Cour de justice) a rejeté un recours que A.________, ressortissante géorgienne, avait interjeté contre le jugement du Tribunal administratif de première instance du canton de Genève (ci-après: le TAPI) du 7 février 2020 confirmant le refus de l'Office cantonal de la population et des migrations de ce canton (ci-après: l'Office cantonal) du 26 mars 2019 d'octroyer à l'intéressée une autorisation de séjour pour cas d'extrême gravité. La situation de A.________ n'était pas constitutive de raisons personnelles majeures au sens de l' art. 30 al. 1 let. b LEI (RS 142.20). En outre, sous l'angle de l' art. 8 CEDH , l'intéressée ne pouvait pas se prévaloir de sa relation avec son fils majeur (né en 1996), qui étudiait à Genève mais avec lequel elle ne faisait plus ménage commun depuis 2008.</w:t>
      </w:r>
    </w:p>
    <w:p>
      <w:r>
        <w:rPr>
          <w:b/>
        </w:rPr>
        <w:t>E. 2</w:t>
      </w:r>
    </w:p>
    <w:p>
      <w:r>
        <w:t>Agissant par la voie du recours constitutionnel subsidiaire, A.________ demande au Tribunal fédéral d'annuler l'arrêt de la Cour de justice du 7 juillet 2020 et de renvoyer la cause à cette autorité pour nouvelle décision. Elle invoque une violation du droit d'être entendu ( art. 29 al. 2 Cst. ; recours, p. 18) et du droit à une composition correcte de l'autorité judiciaire ( art. 30 al. 1 Cst. ; recours, p. 24).</w:t>
      </w:r>
    </w:p>
    <w:p>
      <w:r>
        <w:rPr>
          <w:b/>
        </w:rPr>
        <w:t>E. 3</w:t>
      </w:r>
    </w:p>
    <w:p>
      <w:r>
        <w:t>Le recours en matière de droit public est irrecevable contre les décisions en matière de droit des étrangers qui concernent - comme en l'espèce - les dérogations aux conditions d'admission ( art. 83 let . c ch. 5 LTF). La recourante, qui devant le Tribunal fédéral ne se prévaut plus d'une violation de l' art. 8 CEDH , n'invoque en outre aucune disposition du droit fédéral ou international lui permettant de déposer un recours en matière de droit public sous l'angle de l' art. 83 let . c ch. 2 LTF. C'est donc à juste titre qu'elle a agi par la voie du recours constitutionnel subsidiaire.</w:t>
      </w:r>
    </w:p>
    <w:p>
      <w:r>
        <w:rPr>
          <w:b/>
        </w:rPr>
        <w:t>E. 4</w:t>
      </w:r>
    </w:p>
    <w:p>
      <w:r>
        <w:t>La qualité pour former un recours constitutionnel subsidiaire suppose toutefois un intérêt juridique à l'annulation ou à la modification de la décision attaquée ( art. 115 let. b LTF ). La recourante, qui ne peut se prévaloir de l' art. 30 LEI , ni invoquer de manière indépendante l'interdiction de l'arbitraire, n'a pas une position juridique protégée lui conférant la qualité pour agir au fond sous cet angle ( ATF 133 I 185 ).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197 ss).</w:t>
      </w:r>
    </w:p>
    <w:p>
      <w:r>
        <w:t>Or, les griefs de violation du droit d'être entendu ( art. 29 al. 2 Cst. ) et du droit à une composition correcte de l'autorité ( art. 30 al. 1 Cst. ) soulevés par la recourante sont fondés sur la prémisse que la Cour de justice aurait opéré un revirement de sa jurisprudence en matière de cas d'extrême gravité ( art. 30 al. 1 let. b LEI ), sans le motiver, sans permettre à l'intéressée de se déterminer et de produire des preuves à ce sujet et sans statuer dans la composition correcte prévue dans ces cas. Ces griefs ne peuvent pas être séparés du fond. En effet, en cas d'admission, cela reviendrait à devoir examiner la situation de la recourante sous l'angle de l' art. 30 LEI et à se pencher sur l'application faite par la Cour de justice de cette disposition, ce qui - comme exposé ci-avant - est précisément exclu.</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