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2D_40/2015 vom 17. August 2015</w:t>
      </w:r>
    </w:p>
    <w:p>
      <w:r>
        <w:t>Bundesgericht, 2015-08-17, FR</w:t>
      </w:r>
    </w:p>
    <w:p>
      <w:r>
        <w:rPr>
          <w:b/>
        </w:rPr>
        <w:t xml:space="preserve">Quelle: </w:t>
      </w:r>
      <w:r>
        <w:t>https://mcp.opencaselaw.ch/entscheid/bger_2D_40_2015</w:t>
      </w:r>
    </w:p>
    <w:p>
      <w:r>
        <w:t>FR: TF 2D_40/2015 du 17 août 2015</w:t>
      </w:r>
    </w:p>
    <w:p>
      <w:r>
        <w:t>IT: TF 2D_40/2015 del 17 agosto 2015</w:t>
      </w:r>
    </w:p>
    <w:p>
      <w:pPr>
        <w:pStyle w:val="Heading2"/>
      </w:pPr>
      <w:r>
        <w:t>Erwägungen</w:t>
      </w:r>
    </w:p>
    <w:p>
      <w:r>
        <w:rPr>
          <w:b/>
        </w:rPr>
        <w:t>E. 1</w:t>
      </w:r>
    </w:p>
    <w:p>
      <w:r>
        <w:t>Par arrêt du 13 juillet 2015, le Tribunal cantonal du canton de Vaud a rejeté le recours que A.________, ressortissante algérienne, a déposé contre le refus prononcé le 20 février 2015 par le Service de la population du canton de Vaud de lui délivrer une autorisation de séjour pour rentier.</w:t>
      </w:r>
    </w:p>
    <w:p>
      <w:r>
        <w:rPr>
          <w:b/>
        </w:rPr>
        <w:t>E. 2</w:t>
      </w:r>
    </w:p>
    <w:p>
      <w:r>
        <w:t>Agissant par la voie du recours constitutionnel subsidiaire pour violation de son droit d'être entendue protégé par l' art. 29 Cst. , A.________ demande au Tribunal fédéral, sous suite de frais et dépens, d'annuler l'arrêt attaqué et de renvoyer la cause à l'instance précédente pour nouvelle décision.</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28 LEtr ne confère aucun droit à la recourante. C'est à bon droit qu'elle a choisi la voie du recours constitutionnel subsidiaire ( art. 113 LTF a contrario)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 l'art. 28 LEtr au vu de sa formulation potestative (cf. consid. 3 ci-dessus),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La recourante invoque une violation de son droit d'être entendue pour appréciation anticipée arbitraire des preuves dûment offertes en relation avec les liens personnels particuliers qu'elle allègue entretenir avec la Suisse. Du moment qu'il s'agit d'une des conditions prévues par l'art. 28 LEtr, le moyen invoqué ne peut pas être séparé du fond et est par conséquent irrecevable.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