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37/2017 vom 8. Februar 2018</w:t>
      </w:r>
    </w:p>
    <w:p>
      <w:r>
        <w:t>Bundesgericht, 2018-02-08, FR</w:t>
      </w:r>
    </w:p>
    <w:p>
      <w:r>
        <w:rPr>
          <w:b/>
        </w:rPr>
        <w:t xml:space="preserve">Quelle: </w:t>
      </w:r>
      <w:r>
        <w:t>https://mcp.opencaselaw.ch/entscheid/bger_2D_37_2017</w:t>
      </w:r>
    </w:p>
    <w:p>
      <w:r>
        <w:t>FR: TF 2D 37/2017 du 8 février 2018</w:t>
      </w:r>
    </w:p>
    <w:p>
      <w:r>
        <w:t>IT: TF 2D 37/2017 del 8 febbraio 2018</w:t>
      </w:r>
    </w:p>
    <w:p>
      <w:pPr>
        <w:pStyle w:val="Heading2"/>
      </w:pPr>
      <w:r>
        <w:t>Regeste</w:t>
      </w:r>
    </w:p>
    <w:p>
      <w:r>
        <w:t>Révocation de l'autorisation d'établissement et renvoi de Suisse avec délai immédiat | Droit de cité et droit des étrangers</w:t>
      </w:r>
    </w:p>
    <w:p>
      <w:pPr>
        <w:pStyle w:val="Heading2"/>
      </w:pPr>
      <w:r>
        <w:t>Erwägungen</w:t>
      </w:r>
    </w:p>
    <w:p>
      <w:r>
        <w:rPr>
          <w:b/>
        </w:rPr>
        <w:t>E. 1.1</w:t>
      </w:r>
    </w:p>
    <w:p>
      <w:r>
        <w:t>Selon l'art. 83 lettre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comme en l'espèce, car il existe en principe un droit au maintien d'une telle autorisation ( ATF 135 II 1 consid. 1.2.1 p. 4). En sa qualité de ressortissant italien, le recourant peut en outre se prévaloir de l'Accord du 21 juin 1999 entre la Confédération suisse, d'une part, et la Communauté européenne et ses Etats membres, d'autre part, sur la libre circulation des personnes (ALCP; RS 0.142.112.681; cf. ATF 136 II 177 consid. 1.1 p. 179; arrêt 2C_238/2012 du 30 juillet 2012 consid. 1.1). Aucune autre clause d'irrecevabilité figurant à l' art. 83 LTF n'étant donnée, la voie du recours en matière de droit public est ouverte. Le recourant a toutefois interjeté un recours constitutionnel subsidiaire. Cette fausse indication ne peut lui entraîner aucun préjudice. En effet, selon la jurisprudence, l'intitulé erroné d'un recours n'influence pas sa recevabilité, pour autant que l'écriture remplisse les conditions formelles de la voie de droit qui est ouverte (cf. ATF 138 I 367 consid. 1.1 p. 370; 133 I 300 consid. 1.2 p. 302 s.). En l'occurrence, la voie du recours en matière de droit public étant recevable, le recours sera envisagé sous cet angle.</w:t>
      </w:r>
    </w:p>
    <w:p>
      <w:r>
        <w:rPr>
          <w:b/>
        </w:rPr>
        <w:t>E. 1.2</w:t>
      </w:r>
    </w:p>
    <w:p>
      <w:r>
        <w:t>Le litige porte sur la révocation de l'autorisation d'établissement du recourant. L'annulation de ladite révocation conduirait au maintien de l'autorisation précitée, si bien que la conclusion du recourant tendant à l'annulation de l'arrêt attaqué est recevable en tant que conclusion cassatoire. En revanche, le recours ne contient aucune motivation à l'appui de la conclusion visant le renvoi de la cause à l'autorité inférieure pour nouvelle décision. Cette conclusion est dès lors irrecevable ( art. 42 al. 1 LTF ).</w:t>
      </w:r>
    </w:p>
    <w:p>
      <w:r>
        <w:rPr>
          <w:b/>
        </w:rPr>
        <w:t>E. 1.3</w:t>
      </w:r>
    </w:p>
    <w:p>
      <w:r>
        <w:t>Au surplus, déposé en temps utile ( art. 100 al. 1 LTF ) et, sous réserve de ce qui précède,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Les faits et les critiques invoqués de manière appellatoire sont irrecevables (cf. ATF 137 II 353 consid. 5.1 p. 356; 133 IV 286 consid. 6.2 p. 288). Sur le vu de ce qui précède, il ne sera pas tenu compte des faits tels que présentés de manière appellatoire par le recourant, dans la mesure où ils ne ressortent pas de l'arrêt du Tribunal cantonal. Par ailleurs, la question du poids donné par le Tribunal cantonal aux différents éléments de faits retenus ne relève pas de l'établissement des faits, mais de leur appréciation juridique sous l'angle de la pesée des intérêts, qui sera examinée ci-après. Dans la suite de son raisonnement, le Tribunal fédéral se fondera donc exclusivement sur les faits établis par le Tribunal cantonal.</w:t>
      </w:r>
    </w:p>
    <w:p>
      <w:r>
        <w:rPr>
          <w:b/>
        </w:rPr>
        <w:t>E. 3</w:t>
      </w:r>
    </w:p>
    <w:p>
      <w:r>
        <w:t>La loi fédérale du 16 décembre 2005 sur les étrangers (LEtr; RS 142.20) s'applique à la révocation de l'autorisation d'établissement UE/AELE. Toutefois, dès lors qu'il constitue une limite à la libre circulation des personnes, le retrait de l'autorisation d'établissement doit être conforme aux exigences de l'ALCP (cf. arrêt 2C_365/2017 du 7 décembre 2017 consid. 4.1 et références; cf. infra consid. 5).</w:t>
      </w:r>
    </w:p>
    <w:p>
      <w:r>
        <w:rPr>
          <w:b/>
        </w:rPr>
        <w:t>E. 4</w:t>
      </w:r>
    </w:p>
    <w:p>
      <w:r>
        <w:t>Il n'est, à raison, pas contesté que la condition de la peine privative de longue durée de l'art. 63 al. 2 LEtr en lien avec l'art. 62 al. 1 let. b LEtr, qui permet la révocation de l'autorisation d'établissement d'un étranger qui, comme le recourant, séjourne légalement et sans interruption en Suisse depuis plus de quinze ans,est remplie, le recourant ayant été condamné à une peine privative de liberté de 36 mois (cf. ATF 135 II 377 consid. 4.2 et 4.5 p. 379 ss; 139 I 16 consid. 2.1 p. 18; 137 II 297 consid. 2.3 p. 300 ss).</w:t>
      </w:r>
    </w:p>
    <w:p>
      <w:r>
        <w:rPr>
          <w:b/>
        </w:rPr>
        <w:t>E. 5.1</w:t>
      </w:r>
    </w:p>
    <w:p>
      <w:r>
        <w:t>Comme l'ensemble des droits octroyés par l'ALCP, le droit de demeurer en Suisse ne peut être limité que par des mesures d'ordre ou de sécurité publics, au sens de l' art. 5 par. 1 Annexe I ALCP (cf. ATF 139 II 121 consid. 5.3 p. 125). Conformément à la jurisprudence rendue en rapport avec cette disposition, les limites posées au principe de la libre circulation des personnes doivent s'interpréter de manière restrictive. Ainsi, le recours par une autorité nationale à la notion d' "ordre public " pour restreindre cette liberté suppose, en-dehors du trouble de l'ordre social que constitue toute infraction à la loi, l'existence d'une menace réelle et d'une certaine gravité affectant un intérêt fondamental de la société (cf. ATF 139 II 121 consid. 5.3 p. 125 s.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 ATF 139 II 121 consid. 5.3 p. 126). L'évaluation de ce risque sera d'autant plus rigoureuse que le bien juridique menacé est important (cf. ATF 139 II 121 consid. 5.3 p. 125 s. et les références). A cet égard, le Tribunal fédéral se montre particulièrement rigoureux en présence d'infractions à la législation fédérale sur les stupéfiants, d'actes de violence criminelle et d'infractions contre l'intégrité sexuelle (cf. ATF 139 II 121 consid. 5.3 p. 126; 137 II 297 consid. 3.3 p. 303 s.; arrêt 2C_365/2017 du 7 décembre 2017 consid. 5.1).</w:t>
      </w:r>
    </w:p>
    <w:p>
      <w:r>
        <w:rPr>
          <w:b/>
        </w:rPr>
        <w:t>E. 5.2</w:t>
      </w:r>
    </w:p>
    <w:p>
      <w:r>
        <w:t>Le recourant ne remet pas expressément en question le risque de récidive retenu par le Tribunal cantonal. Il le fait toutefois de façon implicite lorsqu'il mentionne avoir gagné en maturité, " déjoué toutes les prédictions des Juges pénaux s'agissant des risques de récidives " et lorsqu'il reproche au Tribunal cantonal de s'être fondé sur un jugement du Tribunal correctionnel datant de 2015, alors que son comportement avait favorablement évolué depuis.</w:t>
      </w:r>
    </w:p>
    <w:p>
      <w:r>
        <w:rPr>
          <w:b/>
        </w:rPr>
        <w:t>E. 5.3</w:t>
      </w:r>
    </w:p>
    <w:p>
      <w:r>
        <w:t>Il ressort de l'arrêt entrepris que le recourant a été condamné à une peine privative de liberté de 36 mois. Cette peine, qui excède largement le seuil d'une année à partir duquel une peine privative de liberté est considérée comme étant de longue durée, reflète la gravité des actes commis. Parmi ceux-ci figurent des actes de violence criminelle, en particulier, un brigandage avec arme, un autre avec des coups portés à la tête d'une personne se trouvant au sol, ainsi que des incendies volontaires. Par ces actes, le recourant a mis en danger la vie ou la santé de nombreuses personnes, portant atteinte à des biens juridiques importants. Il y a en conséquence lieu de se montrer rigoureux dans l'évaluation du danger qu'il représente. Le comportement du recourant s'est inscrit dans la durée. Alors qu'il avait déjà été confronté à plusieurs reprises à la justice des mineurs, le recourant a été condamné en août 2010, pour des actes commis le 20 juin 2010, en avril 2015 pour des actes commis du 6 mai 2010 au 17 août 2013 et, enfin, en juillet 2016 pour des infractions commises le 24 avril 2016 ( art. 105 al. 2 LTF ). Comme le relève le Tribunal criminel, cité par l'autorité précédente, " les procédures devant le Tribunal des mineurs n'ont pas eu l'effet préventif que l'on était en droit d'attendre " et le recourant " est resté insensible aux multiples enquêtes pénales ouvertes contre lui, aux avertissements qui lui ont été signifiés et, surtout, à deux périodes prolongées de détention provisoire ". A l'occasion du jugement d'avril 2015, sa culpabilité a été qualifiée de lourde et sa capacité à se montrer violent comme étant particulièrement inquiétante. Ni la condamnation d'août 2010, ni celle d'avril 2015, ainsi que les sursis prononcés, ne l'ont dissuadé de commettre de nouvelles infractions. Par ailleurs, le Tribunal cantonal n'a pas fondé le risque de récidive uniquement sur les condamnations pénales de l'intéressé, mais sur l'ensemble des circonstances. S'appuyant sur le jugement du 7 avril 2015, les juges cantonaux ont ainsi constaté que le recourant avait fait très mauvaise impression aux débats, adopté une attitude narquoise et manipulatrice et n'avait pas paru avoir pris conscience de la gravité des infractions qu'il avait commises. En outre, ils ont relevé que les autorités pénales, aussi bien à l'occasion du jugement d'avril 2015, que lors du prononcé de l'ordonnance pénale du 13 juillet 2016, ont établi un pronostic (des plus) défavorables. Dans leur appréciation du risque de récidive, les juges cantonaux n'ont pas négligé le bon comportement et les progrès effectués par le recourant après sa condamnation d'avril 2015, mais ont retenu à juste titre que ces éléments ne pouvaient être décisifs pour évaluer la dangerosité de ce dernier. En effet, le régime de semi-détention et de travail externe dont se prévaut l'intéressé, de même que la libération conditionnelle ne sont pas déterminants (cf. ATF 139 II 121 consid. 5.5.2 p. 127 s.; arrêts 2C_27/2017 du 7 septembre 2017 consid. 4.4; 2C_247/2015 du 7 décembre 2015 consid. 6.2 et références). Durant ces phases, les autorités pénales ont coutume de maintenir un certain contrôle sur le condamné, en assortissant ces périodes de règles de conduite et une récidive serait susceptible de déboucher immédiatement sur la révocation de la mesure (arrêts 2C_247/2015 du 7 décembre 2015 consid. 6.2; 2C_923/2012 du 26 janvier 2013 consid. 4.3.4). En outre, le Tribunal cantonal souligne à juste titre qu'en dépit des progrès réalisés, le recourant avait commis une nouvelle infraction en avril 2016, pour laquelle il avait été condamné. Sur le vu de ces éléments, il ne saurait être reproché à l'autorité précédente d'avoir retenu un risque de récidive concret et l'absence de nouvelles infractions depuis avril 2016 ne suffit pas à exclure un tel risque.</w:t>
      </w:r>
    </w:p>
    <w:p>
      <w:r>
        <w:rPr>
          <w:b/>
        </w:rPr>
        <w:t>E. 5.4</w:t>
      </w:r>
    </w:p>
    <w:p>
      <w:r>
        <w:t>Il convient donc de retenir que la révocation de l'autorisation d'établissement du recourant est une mesure qui respecte les conditions posées par l' art. 5 Annexe I ALCP . Celui-ci présentait une menace suffisamment grave pour l'ordre et la sécurité publics, ce que les éléments précités mis en évidence par les juges cantonaux démontrent.</w:t>
      </w:r>
    </w:p>
    <w:p>
      <w:r>
        <w:rPr>
          <w:b/>
        </w:rPr>
        <w:t>E. 6</w:t>
      </w:r>
    </w:p>
    <w:p>
      <w:r>
        <w:t>Le recourant invoque une violation des principes de proportionnalité et d'égalité, ainsi que de l' art. 8 CEDH .</w:t>
      </w:r>
    </w:p>
    <w:p>
      <w:r>
        <w:rPr>
          <w:b/>
        </w:rPr>
        <w:t>E. 6.1</w:t>
      </w:r>
    </w:p>
    <w:p>
      <w:r>
        <w:t>Né en Suisse, le recourant peut se prévaloir de l' art. 8 CEDH sous l'angle de sa vie privée (cf. ATF 139 I 16 consid. 2.2.2 p. 20 s.; arrêts 2C_365/2017 du 7 décembre 2017 consid. 6.2; 2C_811/2017 du 16 novembre 2017 consid. 8.1; 2C_419/2014 du 13 janvier 2015 consid. 4.2). Son droit à résider en Suisse peut cependant être restreint en application de l' art. 8 par. 2 CEDH ; à cet égard, l'examen sous l'angle de cet article se confond avec celui imposé par l'art. 96 LEtr (cette dernière disposition étant également applicable au domaine régi par l'ALCP; arrêt 2C_560/2016 du 6 octobre 2016 consid. 2.4 et références) et suppose une pesée de tous les intérêts en présence ( ATF 139 I 16 consid. 2.2.2 p. 20; 135 II 377 consid. 4.3 p. 381).</w:t>
      </w:r>
    </w:p>
    <w:p>
      <w:r>
        <w:rPr>
          <w:b/>
        </w:rPr>
        <w:t>E. 6.2</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134 II 10 consid. 4.2 p. 23). La durée de séjour en Suisse d'un étranger constitue un autre critère très important. Plus cette durée est longue, plus les conditions pour mettre fin au séjour en Suisse doivent être appréciées restrictivement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(arrêts 2C_27/2017 du 7 septembre 2017 consid. 4.1; 2C_974/2015 du 5 avril 2016 consid. 3.1 et les références citées).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cf. arrêts 2C_27/2017 du 7 septembre 2017 consid. 4.1; 2C_94/2016 du 2 novembre 2016 consid. 3.4 et référence).</w:t>
      </w:r>
    </w:p>
    <w:p>
      <w:r>
        <w:rPr>
          <w:b/>
        </w:rPr>
        <w:t>E. 6.3</w:t>
      </w:r>
    </w:p>
    <w:p>
      <w:r>
        <w:t>En l'espèce, le Tribunal cantonal a pris en considération tous les éléments imposés par la jurisprudence pour procéder à la pesée des intérêts conformément à l'art. 96 al. 1 LEtr. Il a ainsi correctement pris en compte la nature des infractions commises, la durée et le nombre des condamnations, la gravité des actes pénaux, le degré de culpabilité et le risque de récidive. Comme déjà relevé, il s'agit d'infractions ayant porté atteinte à l'intégrité corporelle et mis en danger la vie d'autres personnes, pour lesquelles une révocation d'un titre de séjour d'un étranger de la seconde génération est admissible. L'autorité précédente a aussi pris en considération le comportement adopté par le recourant lors de la procédure pénale, ainsi que celle adoptée après le jugement d'avril 2015, en mentionnant une nouvelle condamnation pénale en juillet 2016, mais aussi le suivi de traitements contre des dépendances et d'une mesure professionnelle, ainsi que l'exercice d'une activité professionnelle depuis mars 2017. Le Tribunal cantonal a également tenu compte de l'âge et de l'état de santé du recourant, qui est célibataire et sans enfant, sans omettre que ce dernier a toujours séjourné en Suisse, où vivent ses parents et ses frères. En outre, et contrairement à ce que soutient le recourant, l'autorité précédente n'a pas négligé la maladie du père, ni les difficultés d'intégration dans le pays d'origine, notamment en raison du manque de connaissance allégué de l'italien. De plus, il faut relever qu'en dépit des attaches indéniables que l'intéressé entretient avec la Suisse, où il est né, son intégration ne saurait être considérée comme particulièrement réussie et un retour en Italie comme étant inexigible. A l'évidence, un tel retour ne sera pas aisé, mais le recourant est jeune. Il dispose des ressources nécessaires pour s'intégrer dans son pays d'origine et notamment pour, au besoin, apprendre ou parfaire ses connaissances dans la langue italienne. A ce titre, si selon les faits retenus par l'autorité précédente, qui lient le Tribunal fédéral ( art. 105 al. 1 LTF ), on peut nourrir des doutes sur le fait que le recourant n'ait aucune notion dans cette langue, il faut relever que de faibles compétences linguistiques dans le pays d'origine ne rendent pas à elles seules un retour insurmontable (arrêt 2C_401/2012 du 18 septembre 2012 consid. 4.2). Par ailleurs et toujours selon les faits de l'arrêt attaqué, les relations entre le recourant et son père n'étaient pas bonnes. Ce dernier peut bénéficier en Suisse du soutien des autres membres de la famille et la présence du recourant ne lui est pas indispensable. En outre, le Tribunal cantonal relève à juste titre la proximité entre la Suisse et l'Italie qui facilite le maintien des liens entre le recourant et les membres de sa famille restés dans ce premier pays. L'autorité précédente a ainsi retenu à juste titre que la maladie du père ne pouvait être déterminante. Enfin, un comportement adéquat étant attendu d'un délinquant au cours de l'exécution de sa peine ou de sa mesure ( ATF 139 II 121 consid. 5.5.2 p. 128; arrêt 2C_27/2017 du 7 septembre 2017 consid. 4.4), on ne peut accorder un poids décisif au bon comportement, louable, de l'intéressé, adopté essentiellement dans le cadre de l'exécution de sa peine. Compte tenu de l'ensemble des circonstances, en particulier de la réitération des infractions et de la gravité de certaines d'entre elles, il n'apparaît pas qu'en faisant primer l'intérêt public à éloigner le recourant sur l'intérêt privé de celui-ci à pouvoir vivre en Suisse, le Tribunal cantonal ait méconnu les art. 96 LEtr et 8 par. 2 CEDH.</w:t>
      </w:r>
    </w:p>
    <w:p>
      <w:r>
        <w:rPr>
          <w:b/>
        </w:rPr>
        <w:t>E. 7</w:t>
      </w:r>
    </w:p>
    <w:p>
      <w:r>
        <w:t>Le recourant a persisté à commettre des délits malgré les peines avec sursis, respectivement avec sursis partiel prononcées les 12 août 2010 et 7 avril 2015, qui constituaient autant d'avertissements à son encontre. Même sans avertissement formel émanant de la police des étrangers, il devait être pour lui clair que son comportement risquait de compromettre son droit à séjourner en Suisse. Partant, les précédents juges n'ont pas non plus violé l'art. 96 al. 2 LEtr en refusant, implicitement, de commuer la mesure de révocation de l'autorisation d'établissement en un simple avertissement (cf. arrêts 2C_453/2015 du 10 décembre 2015 consid. 5.3; 2C_789/2014 du 20 février 2015 consid. 5.7) (sur l'ensemble, voir l'arrêt 2C_802/2015 du 11 janvier 2016).</w:t>
      </w:r>
    </w:p>
    <w:p>
      <w:r>
        <w:rPr>
          <w:b/>
        </w:rPr>
        <w:t>E. 8</w:t>
      </w:r>
    </w:p>
    <w:p>
      <w:r>
        <w:t>Les considérants qui précèdent conduisent au rejet du recours dans la mesure où il est recevable. Le recourant a sollicité le bénéfice de l'assistance judiciaire. La cause paraissant d'emblée dépourvue de chances de succès, cette requête doit être rejetée ( art. 64 al. 1 LTF ). Succombant, le recourant doit supporter les frais judiciaires ( art. 66 al. 1 LTF ), qui seront toutefois fixés en tenant compte de sa situation.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