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2D_37/2015 vom 17. Juli 2015</w:t>
      </w:r>
    </w:p>
    <w:p>
      <w:r>
        <w:t>Bundesgericht, 2015-07-17, IT</w:t>
      </w:r>
    </w:p>
    <w:p>
      <w:r>
        <w:rPr>
          <w:b/>
        </w:rPr>
        <w:t xml:space="preserve">Quelle: </w:t>
      </w:r>
      <w:r>
        <w:t>https://mcp.opencaselaw.ch/entscheid/bger_2D_37_2015</w:t>
      </w:r>
    </w:p>
    <w:p>
      <w:r>
        <w:t>FR: TF 2D_37/2015 du 17 juillet 2015</w:t>
      </w:r>
    </w:p>
    <w:p>
      <w:r>
        <w:t>IT: TF 2D_37/2015 del 17 luglio 2015</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139 V 42 consid. 1 pag. 44; 138 I 367 consid. 1 pag. 369).</w:t>
      </w:r>
    </w:p>
    <w:p>
      <w:r>
        <w:rPr>
          <w:b/>
        </w:rPr>
        <w:t>E. 2.1</w:t>
      </w:r>
    </w:p>
    <w:p>
      <w:r>
        <w:t>Giusta l' art. 113 LTF , il Tribunale federale giudica i ricorsi sussidiari in materia costituzionale interposti contro le decisioni cantonali di ultima istanza laddove non sia ammissibile il ricorso ordinario secondo gli art. 72 a 89 LTF. Oggetto del contendere è una decisione con cui la Corte cantonale, dopo avere constatato che il permesso di dimora revocato era nel frattempo scaduto, ha vagliato il caso dal profilo del rifiuto del suo rinnovo. Conformemente all'art. 83 lett. c n. 2 LTF, il ricorso in materia di diritto pubblico è inammissibile contro le decisioni in materia di diritto degli stranieri concernenti i permessi o autorizzazioni al cui ottenimento né il diritto federale né il diritto internazionale conferiscono un diritto.</w:t>
      </w:r>
    </w:p>
    <w:p>
      <w:r>
        <w:rPr>
          <w:b/>
        </w:rPr>
        <w:t>E. 2.2</w:t>
      </w:r>
    </w:p>
    <w:p>
      <w:r>
        <w:t>In concreto la ricorrente non pretende, a giusta ragione, di vantare - né lei né il figlio - un diritto a soggiornare in Svizzera in virtù della legislazione interna o convenzionale oppure di un trattato bilaterale concluso con il paese d'origine. Ne discende che non è quindi data la via del ricorso in materia di diritto pubblico.</w:t>
      </w:r>
    </w:p>
    <w:p>
      <w:r>
        <w:rPr>
          <w:b/>
        </w:rPr>
        <w:t>E. 3.1</w:t>
      </w:r>
    </w:p>
    <w:p>
      <w:r>
        <w:t>Rimane da vagliare se il ricorso sussidiario in materia costituzionale sia ricevibile. Secondo l' art. 115 lett. b LTF è legittimato a proporre tale rimedio chi ha un interesse legittimo all'annullamento o alla modifica della decisione impugnata.</w:t>
      </w:r>
    </w:p>
    <w:p>
      <w:r>
        <w:rPr>
          <w:b/>
        </w:rPr>
        <w:t>E. 3.2</w:t>
      </w:r>
    </w:p>
    <w:p>
      <w:r>
        <w:t>La ricorrente lamenta la violazione del divieto dell'arbitrio. A prescindere dal fatto che la censura adempia a malapena le esigenze di motivazione poste dall' art. 106 cpv. 2 LTF va ricordato, come già precisato da questa Corte, che il divieto generale dell'arbitrio sgorgante dall' art. 9 Cost. non conferisce, di per sé, un interesse legittimo ai sensi dell' art. 115 lett. b LTF quando, come in concreto, viene censurata un'errata applicazione del diritto (cfr. DTF 133 I 185 consid. 6.1 pag. 197 e 6.3 pag. 200). La censura è quindi inammissibile.</w:t>
      </w:r>
    </w:p>
    <w:p>
      <w:r>
        <w:rPr>
          <w:b/>
        </w:rPr>
        <w:t>E. 3.3</w:t>
      </w:r>
    </w:p>
    <w:p>
      <w:r>
        <w:t>Malgrado l'assenza di una legittimazione ricorsuale nel merito, la ricorrente può nondimeno far valere la disattenzione dei suoi diritti di parte, la cui violazione costituisce un diniego di giustizia formale ( DTF 133 I 185 consid. 6.2 pag. 198 seg.). Ella non può però contestare, nemmeno indirettamente, il merito della causa, non può riferirsi cioè a quesiti indissociabili dal medesimo quali, segnatamente, il dovere per l'autorità di motivare sufficientemente la propria decisione o di prendere in considerazione gli argomenti giuridici da lei sollevati (cfr. DTF 126 I 81 consid. 3c e 7). In quanto viene criticato il merito della causa il gravame sfugge di conseguenza ad un esame di merito. Nella misura in cui invece è lamentata la disattenzione di diversi disposti costituzionali (art. 5 cpv. 3, 7, 8, 9,12, 27, 29 cpv. 1, 41, 121 Cost.), a prescindere dal quesito di sapere se proteggono effettivamente diritti di parte, va comunque osservato che al riguardo il gravame manca tuttavia di una motivazione conforme a quanto esatto dall' art. 106 cpv. 2 LTF (in relazione con gli art. 116 e 117 LTF ; cfr. DTF 134 II 244 consid. 2.2 pag. 246) e sfugge di conseguenza ad un esame di merito.</w:t>
      </w:r>
    </w:p>
    <w:p>
      <w:r>
        <w:rPr>
          <w:b/>
        </w:rPr>
        <w:t>E. 3.4</w:t>
      </w:r>
    </w:p>
    <w:p>
      <w:r>
        <w:t>Per i motivi illustrati, il gravame si avvera pertanto manifestamente inammissibile e va deciso secondo la procedura semplificata dell' art. 108 cpv. 1 lett. a LTF .</w:t>
      </w:r>
    </w:p>
    <w:p>
      <w:r>
        <w:rPr>
          <w:b/>
        </w:rPr>
        <w:t>E. 4.1</w:t>
      </w:r>
    </w:p>
    <w:p>
      <w:r>
        <w:t>Con l'evasione del ricorso, la domanda di conferimento dell'effetto sospensivo è divenuta priva d'oggetto.</w:t>
      </w:r>
    </w:p>
    <w:p>
      <w:r>
        <w:rPr>
          <w:b/>
        </w:rPr>
        <w:t>E. 4.2</w:t>
      </w:r>
    </w:p>
    <w:p>
      <w:r>
        <w:t>La domanda di assistenza giudiziaria presentata dalla ricorrente non può trovare accoglimento, atteso che le sue conclusioni erano sin dall'inizio prive di probabilità di successo ( art. 64 LTF ). Le spese, fissate tenendo conto della sua situazione finanziaria,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