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2D_36/2017 vom 24. Oktober 2017</w:t>
      </w:r>
    </w:p>
    <w:p>
      <w:r>
        <w:t>Bundesgericht, 2017-10-24, DE</w:t>
      </w:r>
    </w:p>
    <w:p>
      <w:r>
        <w:rPr>
          <w:b/>
        </w:rPr>
        <w:t xml:space="preserve">Quelle: </w:t>
      </w:r>
      <w:r>
        <w:t>https://mcp.opencaselaw.ch/entscheid/bger_2D_36_2017</w:t>
      </w:r>
    </w:p>
    <w:p>
      <w:r>
        <w:t>FR: TF 2D_36/2017 du 24 octobre 2017</w:t>
      </w:r>
    </w:p>
    <w:p>
      <w:r>
        <w:t>IT: TF 2D_36/2017 del 24 ottobre 2017</w:t>
      </w:r>
    </w:p>
    <w:p>
      <w:pPr>
        <w:pStyle w:val="Heading2"/>
      </w:pPr>
      <w:r>
        <w:t>Erwägungen</w:t>
      </w:r>
    </w:p>
    <w:p>
      <w:r>
        <w:rPr>
          <w:b/>
        </w:rPr>
        <w:t>E. 1</w:t>
      </w:r>
    </w:p>
    <w:p>
      <w:r>
        <w:t>Der Beschwerdeführer ist durch die Ansetzung einer (als zu kurz gerügten) Ausreisefrist im Sinne von Art. 115 lit. b BGG zur Verfassungsbeschwerde legitimiert (s. Urteil 2C_200/2017 vom 14. Juli 2017 E. 1.2.3 und 1.2.4). Auch die übrigen Eintretensvoraussetzungen (zulässige Vorinstanz, Beschwerdefrist, Form der Rechtsschrift; s. Art. 86 Abs. 1 lit. d und Abs. 2, Art. 100 Abs. 1, Art. 42 Abs. 2 in Verbindung mit Art. 106 Abs. 2 sowie Art. 114 und 117 BGG ) sind erfüllt. Auf die Beschwerde ist einzutreten.</w:t>
      </w:r>
    </w:p>
    <w:p>
      <w:r>
        <w:rPr>
          <w:b/>
        </w:rPr>
        <w:t>E. 2.1</w:t>
      </w:r>
    </w:p>
    <w:p>
      <w:r>
        <w:t>Gemäss Art. 64d Abs. 1 AuG ist mit der Wegweisungsverfügung eine angemessene Ausreisefrist zwischen sieben und dreissig Tagen anzusetzen; eine längere Ausreisefrist ist anzusetzen oder die Ausreisefrist wird verlängert, wenn besondere Umstände wie die familiäre Situation, gesundheitliche Probleme oder eine lange Aufenthaltsdauer dies erfordern. Die Anwendung dieser Norm ist im Rahmen der Verfassungsbeschwerde nicht frei prüfbar. Der Beschwerdeführer rügt, das Verwaltungsgericht habe mit dem vorliegend angefochtenen zweiten Urteil betreffend die Ansetzung der Ausreisefrist Art. 64d Abs. 1 AuG wiederum willkürlich angewendet.</w:t>
      </w:r>
    </w:p>
    <w:p>
      <w:r>
        <w:t>Willkür in der Rechtsanwendung liegt vor, wenn der angefochtene Entscheid offensichtlich unhaltbar ist, mit der tatsächlichen Situation in klarem Widerspruch steht, eine Norm oder einen unumstrittenen Rechtsgrundsatz klar verletzt oder in stossender Weise dem Gerechtigkeitsgedanken zuwiderläuft. Das Bundesgericht hebt einen Entscheid nur auf, wenn nicht bloss die Begründung, sondern auch das Ergebnis unhaltbar ist. Dass eine andere Lösung ebenfalls als vertretbar oder gar zutreffender erscheint, genügt nicht ( BGE 142 II 369 E. 4.3 S. 380 ; 141 I 49 E. 3.4; 141 IV 305 E. 1.2 S. 308 f.; 140 III 167 E. 2.1 S. 168).</w:t>
      </w:r>
    </w:p>
    <w:p>
      <w:r>
        <w:t>Ob das angefochtene Urteil in diesem Sinne willkürlich ist, ist anhand der Vorbringen des Beschwerdeführers und namentlich im Lichte der Erwägungen des dem angefochtenen Urteil zugrundeliegenden bundesgerichtlichen Urteils 2C_200/2017 vom 14. Juli 2017 (dort insbesondere E. 4.3) zu prüfen.</w:t>
      </w:r>
    </w:p>
    <w:p>
      <w:r>
        <w:rPr>
          <w:b/>
        </w:rPr>
        <w:t>E. 2.2</w:t>
      </w:r>
    </w:p>
    <w:p>
      <w:r>
        <w:t>Das Bundesgericht hielt im Urteil vom 14. Juli 2017 dafür, die allgemeine Lebenserfahrung lege es nahe, dass für eine geordnete Beendigung des Aufenthalts bei der konkreten Ausgangslage (elfjährige Landesanwesenheit, laufende Arbeits- und Mietverträge) mehr als ein Monat erforderlich sei. Ausschlaggebend für die Aufhebung der vom Verwaltungsgericht im ersten Umgang angesetzten Ausreisefrist war, dass diese um ein Mehrfaches kürzer war als die von seinen Vorinstanzen angesetzten Fristen (39 Tage gerechnet ab Urteilsdatum oder 34 Tage gerechnet ab der Urteilseröffnung, im Unterschied zu der vom Migrationsamt angesetzten Frist von 78 Tagen ab Verfügungsdatum resp. der von der Sicherheitsdirektion [über die Festtage zu Jahreswende] angesetzten Frist von 89 Tage ab Entscheiddatum), ohne dass sich dem verwaltungsgerichtlichen Urteil eine Begründung für diese Abweichung bzw. Verkürzung entnehmen liess. Bedeutsam ist auch, dass der Beschwerdeführer vor Eintritt der Rechtskraft der Wegweisung (und bis zum Urteil des Bundesgerichts vom 14. Juli 2017) sich nicht definitiv auf die Ausreise vorbereiten musste.</w:t>
      </w:r>
    </w:p>
    <w:p>
      <w:r>
        <w:rPr>
          <w:b/>
        </w:rPr>
        <w:t>E. 2.3</w:t>
      </w:r>
    </w:p>
    <w:p>
      <w:r>
        <w:t>Der Beschwerdeführer weiss heute gestützt auf das bundesgerichtliche Urteil vom 14. Juli 2017 abschliessend, dass er ausreisen muss. Sodann enthält das heute angefochtene Urteil eine Begründung für die Fristansetzung. Es ist sodann nicht willkürlich, sondern naheliegend, dass das Verwaltungsgericht für die Bemessung der Ausreisefrist auf den Eintritt der Rechtskraft der Wegweisung abstellt und dem Beschwerdeführer zumutet, dass er sofort nach Kenntnisnahme davon die für die Ausreise notwendigen Vorkehrungen zu treffen hatte und nicht tatenlos die neue Fristansetzung abwarten durfte, wie er offenbar meint. Es hebt hervor, dass diesem bei der von ihm angesetzten neuen Frist, gleich wie bei der Verfügung des Migrationsamts, 78 Tage zur Verfügung standen (14. Juli bis 30. September 2017). Auch wenn man - naheliegenderweise - auf den Zeitpunkt der Zustellung des Urteils 2C_200/2017 abstellt, sind es noch 67 Tage. Dies liegt weit über der vom Gesetz vorgesehenen Regelfrist von sieben und dreissig Tagen. Die Auffassung des Verwaltungsgerichts, dass Umstände wie laufende Arbeits- und Mietverträge die Regel sind und nicht zwingend Anspruch auf eine - erheblich - über diesen Rahmen hinausgehende längere Ausreisefrist besteht, ist nicht willkürlich.</w:t>
      </w:r>
    </w:p>
    <w:p>
      <w:r>
        <w:rPr>
          <w:b/>
        </w:rPr>
        <w:t>E. 2.4</w:t>
      </w:r>
    </w:p>
    <w:p>
      <w:r>
        <w:t>Im vorliegenden Fall sieht der Beschwerdeführer die besonderen Umstände für eine deutlich längere Ausreisefrist namentlich in den laufenden Arbeits- und Mietverträgen sowie in seiner gesundheitlichen Situation.</w:t>
      </w:r>
    </w:p>
    <w:p>
      <w:r>
        <w:t>Zwar trifft, wie der Beschwerdeführer richtig feststellt, die Auffassung des Verwaltungsgerichts, dass der rechtskräftig weggewiesene Ausländer nicht mehr zur Erwerbstätigkeit berechtigt sei, so nicht zu; bis zum Ablauf der Ausreisefrist kann er hier blieben und auch arbeiten. Hingegen dürfte der Ablauf der auf die Wegweisung folgenden Ausreisefrist ein Grund für die fristlose Auflösung des Arbeitsverhältnisses sein (vgl. Art. 337 OR ). Was sodann das Verwaltungsgericht über die Möglichkeit ausführt, für eine Wohnung in der Stadt Zürich, wo notorisch Wohnungsknappheit herrscht, einen Nachmieter zu finden, ist nicht willkürlich; Willkür tut der Beschwerdeführer mit der blossen Vermutung, dass für das Quartier U.________ nicht unbedingt Wohnungsknappheit herrsche, nicht dar. Bei der von ihm nun angeführten Tatsache, dass der Vermieter die Wohnung am 4. Mai 2017 auf den 31. März 2018 gekündigt habe, weil umfassende Renovationsarbeiten anstünden, was das Finden eines Nachmieters erschwere, handelt es sich um ein (wohl) unzulässiges Novum ( Art. 99 BGG ). Ohnehin stellt der Vermieter im Kündigungsschreiben in Aussicht, dass individuelle Lösungen für die vorzeitige Rückgabe der Wohnung gefunden werden können, sodass sich aus dem Mietverhältnis keine besonderen Gründe für eine längere Ausreisefrist ergeben. Im Übrigen dient die von Art. 64d Abs. 1 AuG vorgesehene Möglichkeit, ausnahmsweise eine Ausreisefrist von über 30 Tagen anzusetzen, nicht dazu, den Ausländer, für den rechtskräftig festgestellt ist, dass er keinen gültigen Anwesenheitstitel hat und ausreisen muss, erst auf den frühestmöglichen Zeitpunkt der Wohnungskündigung zur Ausreise verpflichten zu dürfen. Schliesslich macht der Beschwerdeführer medizinische Gründe geltend. Er führt aus, dass er in ärztlicher Behandlung an der Klinik für Ohren-, Nasen-, Hals- und Gesichtschirurgie am Universitätsspital Zürich stehe; der letzte Eingriff habe am 3. August 2017 stattgefunden, und er beanspruche auch die Durchführung der Schlussuntersuchung in der Schweiz. Abgesehen davon, dass es sich auch dabei um ein unzulässiges Novum handeln würde, trifft diese Darstellung offensichtlich nicht zu: Der operative Eingriff erfolgte am 3. August</w:t>
      </w:r>
    </w:p>
    <w:p>
      <w:r>
        <w:t>2016 ; Belege dafür, dass auch heute noch bzw. nach Ende September 2017 (welche) besonderen Nachuntersuchungen erforderlich wären, bringt der Beschwerdeführer nicht bei.</w:t>
      </w:r>
    </w:p>
    <w:p>
      <w:r>
        <w:rPr>
          <w:b/>
        </w:rPr>
        <w:t>E. 2.5</w:t>
      </w:r>
    </w:p>
    <w:p>
      <w:r>
        <w:t>Die Anwendung von Art. 64d Abs. 1 AuG bzw. die Ansetzung der Ausreisefrist auf den 30. September 2017 durch das Verwaltungsgericht erscheint in keinerlei Hinsicht willkürlich. Namentlich hält sich das Verwaltungsgericht an die Vorgaben im Rückweisungsentscheid des Bundesgerichts. Die Beschwerde ist abzuweisen.</w:t>
      </w:r>
    </w:p>
    <w:p>
      <w:r>
        <w:rPr>
          <w:b/>
        </w:rPr>
        <w:t>E. 3</w:t>
      </w:r>
    </w:p>
    <w:p>
      <w:r>
        <w:t>Die Gerichtskosten ( Art. 65 BGG ) sind entsprechend dem Verfahrensausgang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