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2D_36/2011 vom 15. November 2011</w:t>
      </w:r>
    </w:p>
    <w:p>
      <w:r>
        <w:t>Bundesgericht, 2011-11-15, FR</w:t>
      </w:r>
    </w:p>
    <w:p>
      <w:r>
        <w:rPr>
          <w:b/>
        </w:rPr>
        <w:t xml:space="preserve">Quelle: </w:t>
      </w:r>
      <w:r>
        <w:t>https://mcp.opencaselaw.ch/entscheid/bger_2D_36_2011</w:t>
      </w:r>
    </w:p>
    <w:p>
      <w:r>
        <w:t>FR: TF 2D_36/2011 du 15 novembre 2011</w:t>
      </w:r>
    </w:p>
    <w:p>
      <w:r>
        <w:t>IT: TF 2D_36/2011 del 15 novembre 2011</w:t>
      </w:r>
    </w:p>
    <w:p>
      <w:pPr>
        <w:pStyle w:val="Heading2"/>
      </w:pPr>
      <w:r>
        <w:t>Erwägungen</w:t>
      </w:r>
    </w:p>
    <w:p>
      <w:r>
        <w:rPr>
          <w:b/>
        </w:rPr>
        <w:t>E. 1</w:t>
      </w:r>
    </w:p>
    <w:p>
      <w:r>
        <w:t>Le Tribunal fédéral examine d'office sa compétence ( art. 29 al. 1 LTF ).</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L' art. 83 let . t LTF vise ainsi non seulement le résultat d'examens au sens étroit, mais encore toutes les évaluations de capacités qui reposent sur une appréciation des aptitudes intellectuelles ou physiques du candidat ( ATF 136 I 229 consid. 1 p. 231).</w:t>
      </w:r>
    </w:p>
    <w:p>
      <w:r>
        <w:t>En l'espèce, le recours porte sur le résultat d'examens auprès de la Haute école pédagogique. L' art. 83 let . t LTF est ainsi applicable, ce qui exclut la recevabilité du recours en matière de droit public. Seul le recours constitutionnel subsidiaire est par conséquent ouvert (cf. art. 113 LTF a contrario).</w:t>
      </w:r>
    </w:p>
    <w:p>
      <w:r>
        <w:rPr>
          <w:b/>
        </w:rPr>
        <w:t>E. 1.2</w:t>
      </w:r>
    </w:p>
    <w:p>
      <w:r>
        <w:t>Interjeté par une partie qui a succombé dans ses conclusions et qui a un intérêt juridique à l'annulation ou la modification de la décision attaquée (cf. art. 115 LTF ), le présent recours constitutionnel subsidiaire a été déposé dans le délai (cf. art. 100 al. 1 en relation avec l' art. 117 LTF ) et - sous réserve de l'obligation de motiver (voir ci-après) - en la forme (cf. art. 42 LTF ) prévus par la loi. Dirigé contre un jugement final (cf. art. 90 en relation avec l' art. 117 LTF ) rendu par un tribunal supérieur statuant en dernière instance cantonale (cf. art. 86 al. 1 let . d et al. 2 en relation avec l' art. 114 LTF ), il est en principe recevable.</w:t>
      </w:r>
    </w:p>
    <w:p>
      <w:r>
        <w:rPr>
          <w:b/>
        </w:rPr>
        <w:t>E. 1.3</w:t>
      </w:r>
    </w:p>
    <w:p>
      <w:r>
        <w:t>Le recours constitutionnel subsidiaire ne peut être formé que pour violation des droits constitutionnels ( art. 116 LTF ). En vertu de l' art. 106 al. 2 LTF (applicable par renvoi de l' art. 117 LTF ), les griefs y relatifs doivent être soulevés et motivés de façon détaillée, sous peine d'irrecevabilité ( ATF 134 I 313 consid. 2 p. 315; 133 II 249 consid. 1.4.2 p. 254; 133 III 393 consid. 6 p. 397). L'obligation de motivation découlant des art. 42 al. 1 et 2 et 106 al. 2 LTF implique que chacune des conclusions soit étayée par une argumentation y renvoyant au moins implicitement.</w:t>
      </w:r>
    </w:p>
    <w:p>
      <w:r>
        <w:t>En l'occurrence, la conclusion principale tendant à l'annulation de l'arrêt cantonal est recevable, du moment que le recourant dénonce en relation avec elle plusieurs vices formels liés à l'obligation de motiver. Il en va différemment de la conclusion subsidiaire, motivée comme suit: "(...) Monsieur X.________ considère que, malgré les nombreuses critiques qu'il s'impose d'apporter à la modalité évaluatrice du 'contrat de remédiation', le travail qu'il a rendu à la session de juin 2010 devait au moins obtenir 31 points ½ et franchir de la sorte le seuil de réussite". Une telle argumentation ne saurait constituer une motivation pertinente sous l'angle des art. 106 al. 2 et 116 LTF , de sorte que ladite conclusion se révèle d'emblée irrecevable.</w:t>
      </w:r>
    </w:p>
    <w:p>
      <w:r>
        <w:rPr>
          <w:b/>
        </w:rPr>
        <w:t>E. 2</w:t>
      </w:r>
    </w:p>
    <w:p>
      <w:r>
        <w:t>Le recourant dénonce une violation de l'obligation de motiver, telle que déduite de l' art. 29 al. 2 Cst. Il n'invoque par contre aucune règle de droit cantonal qui aurait une portée plus large que la norme constitutionnelle fédérale, de sorte que le grief sera examiné seulement à la lumière de cette dernière disposition.</w:t>
      </w:r>
    </w:p>
    <w:p>
      <w:r>
        <w:rPr>
          <w:b/>
        </w:rPr>
        <w:t>E. 2.1</w:t>
      </w:r>
    </w:p>
    <w:p>
      <w:r>
        <w:t>Le droit d'être entendu garanti par l' art. 29 al. 2 Cst. implique pour l'autorité - notamment -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 ATF 136 I 229 consid. 5.2 p. 236; 184 consid. 2.2.1 p. 188; 135 V 65 consid. 2.6 p. 73).</w:t>
      </w:r>
    </w:p>
    <w:p>
      <w:r>
        <w:rPr>
          <w:b/>
        </w:rPr>
        <w:t>E. 2.2</w:t>
      </w:r>
    </w:p>
    <w:p>
      <w:r>
        <w:t>Le recourant estime (p. 7 du recours) que le Tribunal cantonal n'a pas motivé en quoi, contrairement à ce que lui-même affirme, le "contrat de remédiation" contenait les cinq parties du module n° BP 304 "pour lesquelles il avait obtenu le moins de points et dont le potentiel d'amélioration était par conséquent le plus grand" (arrêt attaqué, consid. 4b, p. 11) et en quoi, dans ces conditions, "la délimitation des parties de l'examen à reprendre" se serait faite dans son intérêt bien compris. La critique tombe à faux, dès lors que l'autorité précédente a considéré dans ce contexte que le recourant avait la possibilité de refuser la proposition de remédiation qui lui avait été soumise et d'en négocier les clauses si par exemple il souhaitait y inclure d'autres parties de son travail.</w:t>
      </w:r>
    </w:p>
    <w:p>
      <w:r>
        <w:t>Plus loin (fin p. 8/début p. 9), le recourant estime que le Tribunal cantonal n'a pas motivé le résultat de l'appréciation des preuves, s'agissant de savoir si le contrat de remédiation lui a été proposé ou imposé. Le grief n'a pas de portée propre et sera abordé en relation avec la prohibition de l'arbitraire (cf. consid. 3.3 ci-après).</w:t>
      </w:r>
    </w:p>
    <w:p>
      <w:r>
        <w:t>Le recourant fait également valoir (p. 10 et 11) que l'autorité précédente n'a pas motivé le rejet de son grief relatif au maintien de la même note après la procédure de remédiation. Au consid. 6 de l'arrêt entrepris, le Tribunal cantonal a pourtant clairement expliqué que "c'est également en vain que le recourant soutient que certains éléments visés par le contrat de remédiation n'ont pas été réévalués, au motif qu'ils ont été notés de manière identique et n'ont fait l'objet d'aucun commentaire. Deux travaux différents peuvent évidemment présenter la même qualité et ainsi obtenir la même notation. L'absence de commentaire sur un point particulier du travail ne signifie pas non plus qu'il n'ait pas fait l'objet d'une évaluation". Une telle motivation est conforme aux exigences de l' art. 29 al. 2 Cst.</w:t>
      </w:r>
    </w:p>
    <w:p>
      <w:r>
        <w:t>Le grief de violation de l' art. 29 al. 2 Cst. doit ainsi être rejeté.</w:t>
      </w:r>
    </w:p>
    <w:p>
      <w:r>
        <w:rPr>
          <w:b/>
        </w:rPr>
        <w:t>E. 3</w:t>
      </w:r>
    </w:p>
    <w:p>
      <w:r>
        <w:t>Invoquant l' art. 9 Cst. , le recourant se plaint de la violation de l'interdiction de l'arbitraire.</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136 III 552 consid. 4 p. 560; 134 I 140 consid. 5.4 p. 148).</w:t>
      </w:r>
    </w:p>
    <w:p>
      <w:r>
        <w:rPr>
          <w:b/>
        </w:rPr>
        <w:t>E. 3.2</w:t>
      </w:r>
    </w:p>
    <w:p>
      <w:r>
        <w:t>Le recourant estime d'abord que c'est d'une manière arbitraire que le Tribunal cantonal a admis la validité du contrat de remédiation au regard du droit cantonal. Il soulève ce grief conjointement avec celui de violation du principe de la légalité ancré à l' art. 5 Cst. Selon lui, en effet, la faculté offerte aux étudiants de ne refaire que certaines parties de l'examen déficient serait dépourvue de base légale.</w:t>
      </w:r>
    </w:p>
    <w:p>
      <w:r>
        <w:t>Le Tribunal cantonal a à juste titre déjà rejeté cet argument, en relevant que la décision n° 209 du Comité de direction du 27 octobre 2008 se limite à définir les modalités dont doit bénéficier l'étudiant qui se présente pour la deuxième fois à une évaluation certificative. Ainsi, la forme, la structure générale de l'épreuve, les délais et les ressources disponibles doivent rester identiques, ce qui n'empêche nullement des aménagements. En l'occurrence, l'autorité concernée a proposé au recourant de ne reprendre que cinq parties de l'ensemble du module n° BP 304, à savoir celles pour lesquelles il avait obtenu le moins de points et dont le potentiel d'amélioration était par conséquent le plus grand. Dans le cadre d'un examen limité à l'arbitraire, on ne voit pas que ce mode de faire sortirait du cadre fixé par la décision n° 209. Le grief doit ainsi être rejeté, ce d'autant que le recourant n'a pas établi ni même allégué que ce procédé aurait conduit à un résultat arbitraire.</w:t>
      </w:r>
    </w:p>
    <w:p>
      <w:r>
        <w:t>On rappellera au surplus qu'un vice formel doit être dénoncé dès que possible, à défaut de quoi le plaideur est réputé avoir renoncé à s'en plaindre et voit son droit se périmer (cf., en matière de récusation, ATF 136 I 207 consid. 3.4 p. 211 s. et les arrêts cités). Il s'agit d'une mise en oeuvre du principe de la bonne foi, qui constitue une principe général du droit ( art. 5 al. 3 Cst. ). Celui-ci oblige le justiciable qui constate un prétendu vice de procédure à le signaler immédiatement, à un moment où il pourrait encore être corrigé, et lui interdit d'attendre afin de pouvoir s'en prévaloir ultérieurement devant l'autorité de recours (cf. p. ex., à propos du droit d'être entendu, arrêt 8D_4/2009 du 3 mars 2010 consid. 5.3, in RDAF 2010 I 239, SJ 2010 I 486). Tel est précisément le cas en l'espèce, puisque le recourant, qui - comme cela sera confirmé plus bas - a accepté le mode de faire proposé par l'autorité, lequel devait en conséquence lui paraître plus favorable que de recommencer toute la session d'examen, a attendu de voir son échec consacré pour se plaindre du procédé même que constitue le contrat de remédiation.</w:t>
      </w:r>
    </w:p>
    <w:p>
      <w:r>
        <w:rPr>
          <w:b/>
        </w:rPr>
        <w:t>E. 3.3</w:t>
      </w:r>
    </w:p>
    <w:p>
      <w:r>
        <w:t>Le recourant se plaint, sur un mode appellatoire et donc irrecevable, d'une part, du contenu du contrat de remédiation, lequel aurait omis des sujets sur lesquels il avait échoué; d'autre part, il dénonce le caractère impératif tant dudit "contrat" que de son contenu, qui lui auraient été imposés.</w:t>
      </w:r>
    </w:p>
    <w:p>
      <w:r>
        <w:t>Les deux griefs sont liés. En effet, il ressort de la dénomination utilisée par les parties audit "contrat" que celui-ci avait été établi sur la base d'une "proposition" établie par la Haute école pédagogique. Ce texte a été soumis au recourant qui, de toute évidence, en a accepté la teneur. A défaut de quoi il pouvait préférer choisir de se représenter à l'intégralité des matières formant le module n° BP 304. Ayant accepté ce procédé, qui n'avait rien d'arbitraire, comme cela a été exposé ci-dessus, le recourant ne saurait ultérieurement, après avoir échoué, se plaindre d'une part du contenu du "contrat" (choix des matières à représenter) et d'autre part faire valoir que celui-ci lui aurait été imposé. Ce dernier point est d'ailleurs contesté par la Haute école pédagogique qui confirme (détermination du 29 septembre 2011, p. 3) que "le recourant conservait la faculté de refuser la proposition de remédiation qui lui a été offerte et de refaire l'intégralité de l'examen, ce qui n'aurait pas forcément été dans son intérêt. De même, il aurait pu, avant de signer ce contrat de remédiation, en négocier le contenu. Le recourant a été clairement informé par courrier du 25 janvier 2010 qu'en cas d'échec, le dossier n'était 'le plus souvent' 'pas à refaire dans son intégralité' et qu'un 'contrat' lui serait 'proposé'". De même, les termes figurant dans le préambule du contrat de remédiation démontrent qu'il s'agissait là d'une proposition que le recourant était libre de refuser". Ainsi, les éléments mis en évidence dans le jugement cantonal n'ont rien d'arbitraire; les termes de "proposition" et de "contrat" attestent au demeurant du caractère volontaire de la démarche, rien ne permettant de retenir que le recourant se serait vu imposer soit le principe même du contrat, soit son contenu, étant empêché de se présenter à une nouvelle session d'examen complète. Le fait que des flèches manuscrites aient été ajoutées sur certains éléments du "contrat" - élément de fait dont le recourant fait grand cas - ne change rien à cette appréciation. De manière non arbitraire, le Tribunal cantonal a en effet estimé que leur but était d'attirer l'attention sur ce qui, du point de vue de l'autorité, devait constituer le point fort de la révision, sans pour autant exclure les autres matières. D'ailleurs, le recourant lui-même admet que "cette hypothèse est probable, peut-être même plausible" (recours, p. 9 in fine).</w:t>
      </w:r>
    </w:p>
    <w:p>
      <w:r>
        <w:t>Le grief d'arbitraire doit donc être rejeté.</w:t>
      </w:r>
    </w:p>
    <w:p>
      <w:r>
        <w:rPr>
          <w:b/>
        </w:rPr>
        <w:t>E. 4</w:t>
      </w:r>
    </w:p>
    <w:p>
      <w:r>
        <w:t>Les considérants qui précèdent conduisent au rejet du recours dans la mesure où il est recevable. Succombant, le recourant doit supporter les frais de la procédure fédérale (cf. art. 66 al. 1 LTF ). Il n'a pas droit à des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