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27/2012 vom 11. Juli 2012</w:t>
      </w:r>
    </w:p>
    <w:p>
      <w:r>
        <w:t>Bundesgericht, 2012-07-11, DE</w:t>
      </w:r>
    </w:p>
    <w:p>
      <w:r>
        <w:rPr>
          <w:b/>
        </w:rPr>
        <w:t xml:space="preserve">Quelle: </w:t>
      </w:r>
      <w:r>
        <w:t>https://mcp.opencaselaw.ch/entscheid/bger_2D_27_2012</w:t>
      </w:r>
    </w:p>
    <w:p>
      <w:r>
        <w:t>FR: TF 2D 27/2012 du 11 juillet 2012</w:t>
      </w:r>
    </w:p>
    <w:p>
      <w:r>
        <w:t>IT: TF 2D 27/2012 del 11 luglio 2012</w:t>
      </w:r>
    </w:p>
    <w:p>
      <w:pPr>
        <w:pStyle w:val="Heading2"/>
      </w:pPr>
      <w:r>
        <w:t>Regeste</w:t>
      </w:r>
    </w:p>
    <w:p>
      <w:r>
        <w:t>Wegweisung; Wiedererwägungsgesuch (Revision) | Bürgerrecht und Ausländerrecht</w:t>
      </w:r>
    </w:p>
    <w:p>
      <w:pPr>
        <w:pStyle w:val="Heading2"/>
      </w:pPr>
      <w:r>
        <w:t>Erwägungen</w:t>
      </w:r>
    </w:p>
    <w:p>
      <w:r>
        <w:rPr>
          <w:b/>
        </w:rPr>
        <w:t>E. 1</w:t>
      </w:r>
    </w:p>
    <w:p>
      <w:r>
        <w:t>Das Bundesgericht prüft die Zulässigkeit der eingereichten Rechtsmittel von Amtes wegen ( Art. 29 Abs. 1 BGG ). Der Beschwerdeführer erhebt ausdrücklich subsidiäre Verfassungsbeschwerde, nicht Beschwerde in öffentlich-rechtlichen Angelegenheiten, und beantragt Revision, eventualiter Wiedererwägung der Verfügung des Migrationsamts des Kantons Aargau vom 14. Juli 2009. Mit dieser Verfügung wurde einerseits die Aufenthaltsbewilligung nicht verlängert, andererseits die Wegweisung angeordnet, sodass sich das vor Bundesgericht gestellte Begehren an sich auf beide Teile beziehen könnte. In Bezug auf die Aufenthaltsbewilligung wäre vor Bundesgericht die Beschwerde in öffentlich-rechtlichen Angelegenheiten zulässig, soweit der Beschwerdeführer in vertretbarer Weise geltend macht, er habe aufgrund seiner Ehe einen Anspruch auf Bewilligung ( Art. 83 lit. c Ziff. 2 BGG e contrario; vgl. hinten E. 4). Indessen können vor Bundesgericht keine Anträge gestellt werden, die nicht bereits vor der Vorinstanz gestellt worden sind ( Art. 99 Abs. 2 BGG ). Im vorinstanzlichen Verfahren hat der anwaltlich vertretene Beschwerdeführer nicht um Wiedererwägung der Nichterteilung der Aufenthaltsbewilligung ersucht, sondern ausdrücklich nur um Prüfung der Unzulässigkeit oder Unzumutbarkeit der Wegweisung und um Beantragung einer vorläufigen Aufnahme. Nur dies kann Streitgegenstand vor Bundesgericht sein. Diesbezüglich ist die Beschwerde in öffentlich-rechtlichen Angelegenheiten unzulässig ( Art. 83 lit. c Ziff. 3 und 4 BGG ) und die subsidiäre Verfassungsbeschwerde zulässig ( Art. 113 ff. BGG ).</w:t>
      </w:r>
    </w:p>
    <w:p>
      <w:r>
        <w:rPr>
          <w:b/>
        </w:rPr>
        <w:t>E. 2</w:t>
      </w:r>
    </w:p>
    <w:p>
      <w:r>
        <w:t>Mit der Verfassungsbeschwerde kann nur die Verletzung verfassungsmässiger Rechte gerügt werden ( Art. 116 BGG ). Das Bundesgericht prüft diese Verletzung nur insofern, als eine solche Rüge in der Beschwerde vorgebracht und begründet worden ist (Art. 106 Abs. 2 i.V.m. Art. 117 BGG ). In der Beschwerde ist klar und detailliert anhand der Erwägungen des angefochtenen Entscheids darzulegen, inwiefern verfassungsmässige Rechte verletzt worden sein sollen ( BGE 134 I 83 E. 3.2 S. 88 mit Hinweisen). Das Bundesgericht legt seinem Entscheid den Sachverhalt zugrunde, den die Vorinstanz festgestellt hat. Es kann die Sachverhaltsfeststellung von Amtes wegen berichtigen oder ergänzen, wenn sie auf einer Rechtsverletzung im Sinne von Art. 116 BGG beruht ( Art. 118 BGG ).</w:t>
      </w:r>
    </w:p>
    <w:p>
      <w:r>
        <w:rPr>
          <w:b/>
        </w:rPr>
        <w:t>E. 3.1</w:t>
      </w:r>
    </w:p>
    <w:p>
      <w:r>
        <w:t>Der Beschwerdeführer rügt eine Verletzung von Art. 3 EMRK (Verbot der Folter): Er sei psychisch krank und auf Betreuung angewiesen, die in der Türkei nicht möglich sei. Im Falle einer Wegweisung drohe ihm Verwahrlosung.</w:t>
      </w:r>
    </w:p>
    <w:p>
      <w:r>
        <w:rPr>
          <w:b/>
        </w:rPr>
        <w:t>E. 3.2</w:t>
      </w:r>
    </w:p>
    <w:p>
      <w:r>
        <w:t>Die Vorinstanz hat - u.a. mit Hinweis auf eine ausführliche Länderanalyse des Bundesamtes für Migration - eingehend dargelegt, dass der Beschwerdeführer aufgrund seiner psychischen Krankheit auf medizinische Behandlung angewiesen sei, diese aber auch in der Türkei möglich sei. Der Beschwerdeführer bringt auch nicht ansatzweise vor, dass und inwiefern diese Sachverhaltsfeststellung offensichtlich unrichtig sein soll. Diese ist somit für das Bundesgericht verbindlich. Bei dieser Sachlage ist in keiner Weise erkennbar, inwiefern die Wegweisung des Beschwerdeführers gegen Art. 3 EMRK verstossen sollte.</w:t>
      </w:r>
    </w:p>
    <w:p>
      <w:r>
        <w:rPr>
          <w:b/>
        </w:rPr>
        <w:t>E. 4</w:t>
      </w:r>
    </w:p>
    <w:p>
      <w:r>
        <w:t>Der Beschwerdeführer rügt sodann eine Verletzung des Rechts auf Familienleben ( Art. 13 Abs. 1 und Art. 14 BV , Art. 8 Ziff. 1 EMRK und Art. 17 UNO-Pakt II ). Er bringt vor, er habe aufgrund seines Gesundheitszustands und seiner fehlenden Rechtskenntnisse die Einsprachefrist gegen die Nichtverlängerung der Aufenthaltsbewilligung verpasst. Weil er verheiratet sei, liege die Verlängerung der Aufenthaltsbewilligung nicht mehr im Ermessen des Amtes für Migration und Integration des Kantons Aargau. Zudem sei er auf die Betreuung durch seine Ehefrau und Kinder angewiesen. Diese Beschwerdebegründung bezieht sich auf die Aufenthaltsbewilligung, die indessen gar nicht Gegenstand des Verfahrens ist (E. 1).</w:t>
      </w:r>
    </w:p>
    <w:p>
      <w:r>
        <w:rPr>
          <w:b/>
        </w:rPr>
        <w:t>E. 5</w:t>
      </w:r>
    </w:p>
    <w:p>
      <w:r>
        <w:t>Die Beschwerde ist offensichtlich unbegründet. Der Beschwerdeführer trägt die Kosten des Verfahrens ( Art. 66 Abs. 1 BGG ). Das Gesuch um unentgeltliche Rechtspflege und Verbeiständung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