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2D_24/2023 vom 7. Mai 2025</w:t>
      </w:r>
    </w:p>
    <w:p>
      <w:r>
        <w:t>Bundesgericht, 2025-05-07, DE</w:t>
      </w:r>
    </w:p>
    <w:p>
      <w:r>
        <w:rPr>
          <w:b/>
        </w:rPr>
        <w:t xml:space="preserve">Quelle: </w:t>
      </w:r>
      <w:r>
        <w:t>https://mcp.opencaselaw.ch/entscheid/bger_2D_24_2023</w:t>
      </w:r>
    </w:p>
    <w:p>
      <w:r>
        <w:t>FR: TF 2D_24/2023 du 7 mai 2025</w:t>
      </w:r>
    </w:p>
    <w:p>
      <w:r>
        <w:t>IT: TF 2D_24/2023 del 7 maggio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Beschwerdeführerin bezeichnet ihr Rechtsmittel lediglich als "Beschwerde". Nach der ständigen Rechtsprechung des Bundesgerichts schadet die unzutreffende Bezeichnung des Rechtsmittels indes nicht (vgl. BGE 138 I 367 E. 1.1 ; 133 I 300 E. 1.2; Urteile 2C_576/2022 vom 3. August 2023 E. 1.3.2; 2C_717/2020 vom 11. Januar 2021 E. 1.4).</w:t>
      </w:r>
    </w:p>
    <w:p>
      <w:r>
        <w:rPr>
          <w:b/>
        </w:rPr>
        <w:t>E. 1.1.1</w:t>
      </w:r>
    </w:p>
    <w:p>
      <w:r>
        <w:t>Auf dem Gebiet der öffentlichen Beschaffungen ist die Beschwerde in öffentlich-rechtlichen Angelegenheiten allerdings nur zulässig, wenn die Voraussetzungen von Art. 83 lit. f BGG erfüllt sind. Die Zulässigkeit setzt neben dem Erreichen des Schwellenwerts nach Art. 83 lit. f Ziff. 2 BGG kumulativ voraus, dass sich eine Rechtsfrage von grundsätzlicher Bedeutung im Sinne von Art. 83 lit. f Ziff. 1 BGG stellt. Im Rahmen der Begründungspflicht gemäss Art. 42 Abs. 2 BGG hat die beschwerdeführende Person darzutun, dass die Voraussetzung von Art. 83 lit. f Ziff. 1 BGG erfüllt ist (vgl. BGE 146 II 276 E. 1.2.1; 143 II 425 E. 1.3.1; vgl. Urteile 2D_28/2022 vom 18. Oktober 2023 E. 1.1; 2D_16/2021 vom 17. August 2021 E. 1.1), es sei denn, dies treffe ganz offensichtlich zu (vgl. BGE 140 I 285 E. 1.1.2; Urteil 2D_1/2021 vom 8. März 2021 E. 1.2.1).</w:t>
      </w:r>
    </w:p>
    <w:p>
      <w:r>
        <w:rPr>
          <w:b/>
        </w:rPr>
        <w:t>E. 1.1.2</w:t>
      </w:r>
    </w:p>
    <w:p>
      <w:r>
        <w:t>Die Beschwerdeführerin unterbreitet und erläutert dem Bundesgericht vorliegend weder eine Rechtsfrage von grundsätzlicher Bedeutung im Sinne von Art. 83 lit. f Ziff. 1 BGG noch ist eine solche offenkundig. Sie stellt sich ebenso auf den Standpunkt, dass der Schwellenwert gemäss Art. 83 lit. f Ziff. 2 BGG nicht erreicht werde. Die Beschwerde in öffentlich-rechtlichen Angelegenheit steht demnach nicht offen.</w:t>
      </w:r>
    </w:p>
    <w:p>
      <w:r>
        <w:rPr>
          <w:b/>
        </w:rPr>
        <w:t>E. 1.2</w:t>
      </w:r>
    </w:p>
    <w:p>
      <w:r>
        <w:t>Soweit die "Beschwerde" der Beschwerdeführerin als subsidiäre Verfassungsbeschwerde im Sinne von Art. 113 BGG entgegen zu nehmen ist, hat die Beschwerdeführerin das Rechtsmittel fristgerecht eingereicht ( Art. 117 BGG i.V.m. Art. 100 Abs. 1 BGG ).</w:t>
      </w:r>
    </w:p>
    <w:p>
      <w:r>
        <w:rPr>
          <w:b/>
        </w:rPr>
        <w:t>E. 1.2.1</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namentlich gegeben, wenn die nicht berücksichtigte Anbieterin eine reelle Chance hat, im Falle der Gutheissung ihres Rechtsmittels den Zuschlag zu erhalten. Das rechtlich geschützte Interesse im Sinne von Art. 115 lit. b BGG ist anhand der Anträge und den vorgebrachten Rügen zu beurteilen (vgl. BGE 141 II 14 E. 4.1; Urteile 2D_28/2022 vom 18. Oktober 2023 E. 1.2.2.; 2D_16/2021 vom 17. August 2021 E. 1.1).</w:t>
      </w:r>
    </w:p>
    <w:p>
      <w:r>
        <w:t>Die Beschwerdeführerin verlangt im Wesentlichen den Ausschluss der Beschwerdegegnerin vom Vergabeverfahren. Da nur zwei Anbieterinnen eine Offerte eingereicht haben (vgl. Bst. A hiervor), hat die Beschwerdeführerin, die bereits am vorinstanzlichen Verfahren teilgenommen hat ( Art. 115 lit. a BGG ), eine reelle Chance, im Falle der Gutheissung ihres Rechtsmittels den Zuschlag zu erhalten. Sie hat somit ein rechtlich geschütztes Interesse an der Aufhebung oder Änderung des vorinstanzlichen Urteils ( Art. 115 lit. b BGG ).</w:t>
      </w:r>
    </w:p>
    <w:p>
      <w:r>
        <w:rPr>
          <w:b/>
        </w:rPr>
        <w:t>E. 1.2.2</w:t>
      </w:r>
    </w:p>
    <w:p>
      <w:r>
        <w:t>Soweit die Beschwerdeführerin die Aufhebung des vorinstanzlichen Urteils verlangt, richtet sich die subsidiäre Verfassungsbeschwerde gegen ein kantonal letztinstanzliches ( Art. 114 BGG i.V.m. Art. 86 Abs. 1 lit. d BGG ), verfahrensabschliessendes ( Art. 117 BGG i.V.m. Art. 90 BGG ) Urteil eines oberen Gerichts ( Art. 114 BGG i.V.m. Art. 86 Abs. 2 BGG ). Nicht Gegenstand des bundesgerichtlichen Verfahrens bildet hingegen die Zuschlagsverfügung der Vergabebehörde. Die Zuschlagsverfügung ist durch das vorinstanzliche Urteil ersetzt worden und gilt inhaltlich als mitangefochten (Devolutiveffekt; vgl. BGE 134 II 142 E. 1.4). Insoweit die Beschwerdeführerin die Aufhebung der Zuschlagsverfügung verlangt, ist auf die subsidiäre Verfassungsbeschwerde daher nicht einzutreten.</w:t>
      </w:r>
    </w:p>
    <w:p>
      <w:r>
        <w:rPr>
          <w:b/>
        </w:rPr>
        <w:t>E. 1.3</w:t>
      </w:r>
    </w:p>
    <w:p>
      <w:r>
        <w:t>Nach dem Dargelegten ist auf die "Beschwerde" im Sinne einer subsidiären Verfassungsbeschwerde einzutreten, soweit sie sich gegen das angefochtene Urteil richtet.</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2C_576/2022 vom 3. August 2023 E. 2.1;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2C_576/2022 vom 3. August 2023 E. 2.2; 2D_16/2021 vom 17. August 2021 E. 2.1).</w:t>
      </w:r>
    </w:p>
    <w:p>
      <w:r>
        <w:rPr>
          <w:b/>
        </w:rPr>
        <w:t>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118 Abs. 1 BGG ).</w:t>
      </w:r>
    </w:p>
    <w:p>
      <w:r>
        <w:rPr>
          <w:b/>
        </w:rPr>
        <w:t>E. 3</w:t>
      </w:r>
    </w:p>
    <w:p>
      <w:r>
        <w:t>Die Beschwerdeführerin rügt im Wesentlichen eine Verletzung des Willkürverbots nach Art. 9 BV und einen Verstoss gegen Art. 49 BV .</w:t>
      </w:r>
    </w:p>
    <w:p>
      <w:r>
        <w:rPr>
          <w:b/>
        </w:rPr>
        <w:t>E. 3.1</w:t>
      </w:r>
    </w:p>
    <w:p>
      <w:r>
        <w:t>Nach Auffassung der Beschwerdeführerin müssen sowohl die C.________ AG als auch die D.________ AG gleichermassen den Eignungskriterien genügen. Dennoch, so die Beschwerdeführerin weiter, erfülle die D.________ AG das Eignungskriterium "Einhaltung des LMV für das Schweizerische Bauhauptgewerbe" nicht. Entsprechend hätte die Beschwerdegegnerin, deren Mitglied die D.________ AG sei, vom Vergabeverfahren ausgeschlossen werden müssen. Die vorinstanzliche Würdigung, wonach die Beschwerdegegnerin keine Arbeits-, sondern vielmehr eine Bietergemeinschaft darstelle, womit nur die C.________ AG als Erbringerin der charakteristischen Leistung das umstrittene Eignungskriterium erfüllen müsse, verletze in willkürlicher Weise das Obligationenrecht. Die Bestimmungen des Obligationenrechts zur einfachen Gesellschaft, so die Beschwerdeführerin, gingen den Vorgaben des interkantonalen Rechts vor, womit die Vorinstanz die derogative Kraft des Bundesrechts gemäss Art. 49 BV in unhaltbarer Weise missachtet habe.</w:t>
      </w:r>
    </w:p>
    <w:p>
      <w:r>
        <w:rPr>
          <w:b/>
        </w:rPr>
        <w:t>E. 3.2</w:t>
      </w:r>
    </w:p>
    <w:p>
      <w:r>
        <w:t>Nach der ständigen bundesgerichtlichen Rechtsprechung sind Eignungskriterien grundsätzlich als Ausschlusskriterien zu definieren, sodass bei Nichterfüllen auch nur eines Eignungskriteriums ein Ausschluss vom Vergabeverfahren die Folge sein muss, ausser wenn die Mängel geringfügig sind und der Ausschluss unverhältnismässig wäre (vgl. BGE 145 II 249 E. 3.3 ; 143 I 177 E. 2.3.1; 141 II 353 E. 7.1; 139 II 489 E. 2.2.4).</w:t>
      </w:r>
    </w:p>
    <w:p>
      <w:r>
        <w:rPr>
          <w:b/>
        </w:rPr>
        <w:t>E. 3.2.1</w:t>
      </w:r>
    </w:p>
    <w:p>
      <w:r>
        <w:t>Die Ausschreibungsunterlagen sind - namentlich bei unklar formulierten Kriterien - derart auszulegen und anzuwenden, wie sie von den Anbieterinnen in guten Treuen verstanden werden konnten und mussten. Auf den subjektiven Willen der Vergabebehörde oder der dort tätigen Personen kommt es nicht an. Jedoch verfügt die Vergabebehörde bei der Formulierung und Anwendung der Kriterien über einen grossen Ermessens- oder Beurteilungsbereich, in den die Beschwerdeinstanzen - im Rahmen der Sachverhalts- und Rechtskontrolle - unter dem Titel der Auslegung nicht eingreifen dürfen. Von mehreren möglichen Auslegungen hat die gerichtliche Beschwerdeinstanz nicht die ihr zweckmässig scheinende auszuwählen, sondern die Grenzen des rechtlich Zulässigen abzustecken (vgl. BGE 141 II 14 E. 7.1; Urteile 2C_365/2022 vom 19. Januar 2023 E. 6.1; 2C_698/2019 vom 24. April 2020 E. 4.3; 2C_111/2018 vom 2. Juli 2019 E. 3.3.2).</w:t>
      </w:r>
    </w:p>
    <w:p>
      <w:r>
        <w:rPr>
          <w:b/>
        </w:rPr>
        <w:t>E. 3.2.2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3.3</w:t>
      </w:r>
    </w:p>
    <w:p>
      <w:r>
        <w:t>Die Vorinstanz hält fest, es sei unbestritten, dass die D.________ AG, die laut dem Angebot der Beschwerdegegnerin lediglich Arbeiten im Transportbereich übernehme, nicht dem Landesmantelvertrag unterstehe (vgl. E. 2.4.1 des angefochtenen Urteils). Gemäss Art. 31 Abs. 1 und Abs. 3 der Interkantonalen Vereinbarung vom 15. November 2019 über das öffentliche Beschaffungswesen (IVöB; BR 803.710) seien Bietergemeinschaften und Subunternehmen zugelassen, soweit dies in der Ausschreibung oder in den entsprechenden Unterlagen nicht ausgeschlossen oder beschränkt werde. Die charakteristische Leistung sei grundsätzlich durch die Anbieterin zu erbringen. Inwieweit die Mitglieder einer Bietergemeinschaft je einzeln die Eignungskriterien erfüllen müssten, bestimme sich primär anhand der Ausschreibungsunterlagen, die bei Unklarheit auszulegen seien (vgl. E. 2.4.2 des angefochtenen Urteils). Vorliegend sehe die Ausschreibung ausdrücklich vor, dass Bietergemeinschaften zulässig seien. Die D.________ AG, die keine Bauleistungen, sondern nur Transportleistungen erbringe, könne das Eignungskriterium von vornherein nicht erfüllen. Entsprechend sei das Eignungskriterium "Einhaltung der LMV für das Schweizerische Bauhauptgewerbe" so auszulegen und zu verstehen, dass jene Mitglieder einer Bietergemeinschaft dieses Kriterium zu erfüllen haben, die auch die Baumeisterarbeiten erbringen. Dies treffe bei der Beschwerdegegnerin nur auf die C.________ AG zu. Dass die C.________ AG das Eignungskriterium nicht erfülle, werde von den Verfahrensbeteiligten nicht infrage gestellt. Die Beschwerdegegnerin sei entgegen der Auffassung der Beschwerdeführerin folglich nicht vom Vergabeverfahren auszuschliessen (vgl. E. 2.4.6 des angefochtenen Urteils).</w:t>
      </w:r>
    </w:p>
    <w:p>
      <w:r>
        <w:rPr>
          <w:b/>
        </w:rPr>
        <w:t>E. 3.4</w:t>
      </w:r>
    </w:p>
    <w:p>
      <w:r>
        <w:t>Was die Beschwerdeführerin gegen die vorinstanzlichen Erwägungen vorträgt, vermag weder einen Verstoss gegen das Willkürverbot noch eine Verletzung von Art. 49 BV aufzuzeigen.</w:t>
      </w:r>
    </w:p>
    <w:p>
      <w:r>
        <w:rPr>
          <w:b/>
        </w:rPr>
        <w:t>E. 3.4.1</w:t>
      </w:r>
    </w:p>
    <w:p>
      <w:r>
        <w:t>Zwar ist das Prinzip der derogatorischen Kraft des Bundesrechts gemäss Art. 49 BV als verfassungsmässiges Individualrecht anerkannt und kann im Rahmen der subsidiären Verfassungsbeschwerde angerufen werden (vgl. BGE 149 III 287 E. 1.2; 133 III 639 E. 2 ; 123 I 221 E. 3d). Jedoch ist nicht ersichtlich, was die Beschwerdeführerin mit ihren Ausführungen zu den obligationenrechtlichen Bestimmungen der einfachen Gesellschaft dartun möchte. Sowohl die Arbeitsgemeinschaft als auch die Bietergemeinschaft stellen einfache Gesellschaften im Sinne von Art. 530 ff. OR dar (vgl. auch BGE 131 I 153 E. 5.3; Urteil 2D_28/2022 vom 18. Oktober 2023 E. 1.2.3). Entgegen der Auffassung der Beschwerdeführerin lassen sich aus den obligationenrechtlichen Bestimmungen zur einfachen Gesellschaft aber keine Vorgaben für die Beantwortung der Frage entnehmen, ob sämtliche Mitglieder einer Gemeinschaft respektive Gesellschafter einer (einfachen) Gesellschaft ein Eignungskriterium zu erfüllen haben. Dies kann sich lediglich aus den einschlägigen beschaffungsrechtlichen Bestimmungen oder, wie die Vorinstanz zutreffend erwägt, aus den Ausschreibungsunterlagen ergeben, die bei Unklarheiten auszulegen sind (vgl. E. 3.2.1 hiervor). Inwiefern die Vorinstanz beschaffungsrechtliche Bestimmungen in unhaltbarer Weise ausser Acht gelassen hat oder bei der Auslegung der Ausschreibungsunterlagen in Willkür verfallen sein soll, zeigt die Beschwerdeführerin allerdings nicht rechtsgenüglich auf (vgl. Art. 106 Abs. 2 BGG ).</w:t>
      </w:r>
    </w:p>
    <w:p>
      <w:r>
        <w:rPr>
          <w:b/>
        </w:rPr>
        <w:t>E. 3.4.2</w:t>
      </w:r>
    </w:p>
    <w:p>
      <w:r>
        <w:t>Die von der Beschwerdeführerin angeführten obligationenrechtlichen Bestimmungen stehen mit der vorinstanzlichen Anwendung des interkantonalen Rechts - namentlich mit Art. 31 IVöB - nicht im Widerspruch. Es ist damit keine Verletzung des Prinzips der derogatorischen Kraft des Bundesrechts gemäss Art. 49 BV ersichtlich. Ebenfalls ist kein Verstoss gegen das Willkürverbot nach Art. 9 BV zu erkennen. Es ist unter diesen beiden Gesichtspunkten als verfassungskonform zu beurteilen, dass die Vorinstanz die Beschwerdegegnerin nicht vom Vergabeverfahren ausgeschlossen hat.</w:t>
      </w:r>
    </w:p>
    <w:p>
      <w:r>
        <w:rPr>
          <w:b/>
        </w:rPr>
        <w:t>E. 3.5</w:t>
      </w:r>
    </w:p>
    <w:p>
      <w:r>
        <w:t>Soweit die Beschwerdeführerin im Weiteren einen Verstoss gegen das Rechtsgleichheitsgebot nach Art. 8 BV sowie gegen den Vertrauensschutz gemäss Art. 9 BV vorträgt, sind die Rügen der Verletzung des verfassungsmässigen Rechts nicht hinreichend begründet (vgl. Art. 106 Abs. 2 BGG ).</w:t>
      </w:r>
    </w:p>
    <w:p>
      <w:r>
        <w:rPr>
          <w:b/>
        </w:rPr>
        <w:t>E. 4</w:t>
      </w:r>
    </w:p>
    <w:p>
      <w:r>
        <w:t>Im Ergebnis erweist sich die "Beschwerde" im Sinne einer subsidiären Verfassungsbeschwerde als unbegründet, weshalb sie abzuweisen ist, soweit darauf eingetreten wird. Auf die "Beschwerde" im Sinne einer Beschwerde in öffentlich-rechtlichen Angelegenheiten ist nicht einzutreten.</w:t>
      </w:r>
    </w:p>
    <w:p>
      <w:r>
        <w:t>Bei diesem Verfahrensausgang trägt die Beschwerdeführerin die Gerichtskosten ( Art. 66 Abs. 1 BGG ). Parteientschädigungen sind nicht geschuldet, da die Vergabebehörde in ihrem amtlichen Wirkungskreis tätig ist ( Art. 68 Abs. 3 BGG ) und die Beschwerdegegnerin im bundesgerichtlichen Verfahren nicht anwaltlich vertreten ist und sich auch nicht vernehmen liess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