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24/2009 vom 9. April 2009</w:t>
      </w:r>
    </w:p>
    <w:p>
      <w:r>
        <w:t>Bundesgericht, 2009-04-09, DE</w:t>
      </w:r>
    </w:p>
    <w:p>
      <w:r>
        <w:rPr>
          <w:b/>
        </w:rPr>
        <w:t xml:space="preserve">Quelle: </w:t>
      </w:r>
      <w:r>
        <w:t>https://mcp.opencaselaw.ch/entscheid/bger_2D_24_2009</w:t>
      </w:r>
    </w:p>
    <w:p>
      <w:r>
        <w:t>FR: TF 2D 24/2009 du 9 avril 2009</w:t>
      </w:r>
    </w:p>
    <w:p>
      <w:r>
        <w:t>IT: TF 2D 24/2009 del 9 aprile 2009</w:t>
      </w:r>
    </w:p>
    <w:p>
      <w:pPr>
        <w:pStyle w:val="Heading2"/>
      </w:pPr>
      <w:r>
        <w:t>Regeste</w:t>
      </w:r>
    </w:p>
    <w:p>
      <w:r>
        <w:t>Staats- und Bundessteuer 2007 / Erlass | Öffentliche Finanzen &amp; Abgaberecht</w:t>
      </w:r>
    </w:p>
    <w:p>
      <w:pPr>
        <w:pStyle w:val="Heading2"/>
      </w:pPr>
      <w:r>
        <w:t>Erwägungen</w:t>
      </w:r>
    </w:p>
    <w:p>
      <w:r>
        <w:rPr>
          <w:b/>
        </w:rPr>
        <w:t>E. 1</w:t>
      </w:r>
    </w:p>
    <w:p>
      <w:r>
        <w:t>Mit Verfügung vom 25. September 2008 wies die Erlassabteilung des Finanzdepartements des Kantons Solothurn das Gesuch von X.________ um Erlass der Staatssteuern und der direkten Steuern 2007 (einschliesslich Steuer auf Kapitalabfindung) ab. Einen Rekurs des Gesuchstellers wies das Steuergericht des Kantons Solothurn mit Urteil vom 16. Februar 2009 ab. Mit Eingabe vom 6. April 2009 führt X.________ Beschwerde mit dem Antrag, die Steuern des Jahres 2007 seien ganz oder mindestens teilweise zu erlassen.</w:t>
      </w:r>
    </w:p>
    <w:p>
      <w:r>
        <w:rPr>
          <w:b/>
        </w:rPr>
        <w:t>E. 2.1</w:t>
      </w:r>
    </w:p>
    <w:p>
      <w:r>
        <w:t>Gegen Entscheide über die Stundung oder den Erlass von Abgaben ist die Beschwerde in öffentlich-rechtlichen Angelegenheiten ausgeschlossen ( Art. 83 lit. m BGG ). In Betracht fällt einzig die subsidiäre Verfassungsbeschwerde. Diese setzt voraus, dass der Beschwerdeführer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Willkürrüge ist deshalb nur legitimiert, wer sich auf eine gesetzliche Norm berufen kann, die ihm im Bereich seiner betroffenen und angeblich verletzten Interessen einen Rechtsanspruch einräumt. Nach konstanter Rechtsprechung (Urteile 2D_1/2009 vom 8. Januar 2009; 2D_106/2008 vom 13. Oktober 2008; 2D_83/2008 vom 8. August 2008; 2D_135/2008 vom 26. Februar 2008) besteht ein solcher rechtlicher Anspruch auf Steuererlass im Kanton Solothurn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"Allgemeine Grundsätze", welche für die Behörde wegleitend sein sollen, wie z.B. die Zukunftsaussichten oder die Zumutbarkeit von Einschränkungen in der Lebenshaltung. Weder aus dem Gesetz noch aus der Steuerverordnung ergibt sich somit, unter welchen Voraussetzungen dem Betroffenen der beantragte Vorteil zu gewähren ist (vgl. BGE 112 Ia 93 E. 2c S. 94 f.). Die Behörde, welche über das Erlassgesuch entscheidet, hat vielmehr eine Interessenabwägung vorzunehmen, welche im Rahmen der geschilderten gesetzlichen Erlassgründe so oder anders ausfallen kann. Ein justiziabler Anspruch auf Steuererlass besteht damit nicht. Auf die Beschwerde kann hinsichtlich der Staatssteuer mangels Legitimation nicht eingetreten werden.</w:t>
      </w:r>
    </w:p>
    <w:p>
      <w:r>
        <w:rPr>
          <w:b/>
        </w:rPr>
        <w:t>E. 2.2</w:t>
      </w:r>
    </w:p>
    <w:p>
      <w:r>
        <w:t>Art. 167 DBG (SR 642.11) regelt den Steuererlass für das Recht der direkten Bundessteuer (ähnlich wie § 182 StG /SO) nur in allgemeiner Weise. Auch das Bundesrecht stellt die Gewährung des Steuererlasses ins Ermessen der Behörde und räumt keinen Rechtsanspruch auf ganzen oder teilweisen Erlass der direkten Bundessteuer ein (Urteil 2D_138/2007 vom 21. Februar 2008; Werner Lüdin, in: Kommentar zum Schweizerischen Steuerrecht, Bd. I/2b, N. 20 zu Art. 167 DBG ). Dem Beschwerdeführer fehlt damit die Legitimation zur subsidiären Verfassungsbeschwerde auch hinsichtlich der direkten Bundessteuer.</w:t>
      </w:r>
    </w:p>
    <w:p>
      <w:r>
        <w:rPr>
          <w:b/>
        </w:rPr>
        <w:t>E. 3</w:t>
      </w:r>
    </w:p>
    <w:p>
      <w:r>
        <w:t>Die Beschwerde ist offensichtlich unzulässig und im vereinfachten Verfahren mit Nichteintreten zu erledigen (Art. 108 Abs. 1 in Verbindung mit 117 BGG). Auf eine Kostenauflage ist angesichts der besonderen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