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2D_22/2008 vom 23. Mai 2008</w:t>
      </w:r>
    </w:p>
    <w:p>
      <w:r>
        <w:t>Bundesgericht, 2008-05-23, FR</w:t>
      </w:r>
    </w:p>
    <w:p>
      <w:r>
        <w:rPr>
          <w:b/>
        </w:rPr>
        <w:t xml:space="preserve">Quelle: </w:t>
      </w:r>
      <w:r>
        <w:t>https://mcp.opencaselaw.ch/entscheid/bger_2D_22_2008</w:t>
      </w:r>
    </w:p>
    <w:p>
      <w:r>
        <w:t>FR: TF 2D_22/2008 du 23 mai 2008</w:t>
      </w:r>
    </w:p>
    <w:p>
      <w:r>
        <w:t>IT: TF 2D_22/2008 del 23 maggio 2008</w:t>
      </w:r>
    </w:p>
    <w:p>
      <w:pPr>
        <w:pStyle w:val="Heading2"/>
      </w:pPr>
      <w:r>
        <w:t>Erwägungen</w:t>
      </w:r>
    </w:p>
    <w:p>
      <w:r>
        <w:rPr>
          <w:b/>
        </w:rPr>
        <w:t>E. 1</w:t>
      </w:r>
    </w:p>
    <w:p>
      <w:r>
        <w:t>A raison, le recourant admet que l'arrêt attaqué ne soulève pas une question juridique de principe au sens de l' art. 83 let . f ch. 2 LTF (cf. ATF 133 II 396 consid. 2.1 p. 398), si bien que seule la voie du recours constitutionnel subsidiaire prévue aux art. 113 ss LTF entre ici en ligne de compte (cf. ATF 133 II 396 consid. 3.1 p. 399).</w:t>
      </w:r>
    </w:p>
    <w:p>
      <w:r>
        <w:rPr>
          <w:b/>
        </w:rPr>
        <w:t>E. 1.1</w:t>
      </w:r>
    </w:p>
    <w:p>
      <w:r>
        <w:t>En tant que partie à la procédure cantonale, le recourant, qui agit comme titulaire de la raison individuelle de la Société 2, dispose de la qualité pour recourir s'il peut justifier d'un intérêt juridique à obtenir l'annulation ou la modification de la décision attaquée (cf. art. 115 let. a et b LTF ). Tel est bien le cas en l'espèce puisque, arrivé en deuxième position au terme de la procédure d'adjudication, le recourant peut raisonnablement espérer que le marché lui soit attribué en cas d'admission du recours, le cas échéant après renvoi de la cause à l'autorité cantonale pour nouvelle décision, conformément à sa conclusion subsidiaire (sur les cas où la qualité pour recourir doit être niée faute d'un intérêt juridique suffisant, cf. arrêt 2P.261/2002, du 8 août 2003, consid. 4).</w:t>
      </w:r>
    </w:p>
    <w:p>
      <w:r>
        <w:t>Certes ignore-t-on si, postérieurement au rejet de la demande d'effet suspensif présentée par le recourant en procédure fédérale (cf. ordonnance présidentielle du 3 mai 2008), l'Etat du Valais a conclu un contrat avec l'adjudicataire du marché (la Société 1), comme ceux-ci en ont manifesté la volonté et souligné l'urgence dans leurs déterminations. Les parties n'ont fourni aucune information à ce sujet au Tribunal fédéral. Peu importe toutefois. En effet, à supposer qu'un tel contrat ait récemment été conclu, les conclusions en annulation prises par le recourant se seraient alors automatiquement transformées en conclusions constatatoires sur l'illicéité de la décision attaquée de nature à ouvrir le droit à des dommages et intérêts et à fonder l'existence d'un intérêt juridique actuel et pratique suffisant au sens de l' art. 115 let. b LTF (cf., sous l' art. 87 OJ , ATF 131 I 153 consid. 1.2 p. 157; 125 II 86 consid. 5b p. 97 s.). C'est du reste dans cette seule éventualité qu'est recevable la conclusion du recourant formée en termes généraux ("en tout état de cause") et tendant à faire constater l'illicéité de la décision attaquée (cf. 25 PCF selon le renvoi de l' art. 71 LTF ).</w:t>
      </w:r>
    </w:p>
    <w:p>
      <w:r>
        <w:rPr>
          <w:b/>
        </w:rPr>
        <w:t>E. 1.2</w:t>
      </w:r>
    </w:p>
    <w:p>
      <w:r>
        <w:t>Le recours constitutionnel subsidiaire peut être formé pour violation des droits constitutionnels ( art. 116 LTF ). Le Tribunal fédéral n'examine toutefois la violation des droits fondamentaux que si ce grief a été invoqué et motivé par le recourant ( art. 106 al. 2 LTF par renvoi de l' art. 117 LTF ). Cette dernière disposition reprend le principe d'allégation (Rügeprinzip) que la pratique relative au recours de droit public avait établi en relation avec l' art. 90 al. 1 let. b OJ (cf. ATF 133 II 249 consid. 1.4.2 p. 254). A cet égard, le recourant ne peut, dans un recours pour arbitraire fondé sur l' art. 9 Cst. , se contenter de critiquer l'arrêt attaqué comme il le ferait dans une procédure d'appel où l'autorité de recours peut revoir librement l'application du droit. Il doit au contraire préciser en quoi cet arrêt serait arbitraire, ne reposerait sur aucun motif sérieux et objectif, apparaîtrait insoutenable ou heurterait gravement le sens de la justice (cf. ATF 133 II 396 consid. 3.1 p. 399 s. et les arrêts cités). C'est à la lumière de ces exigences de motivation que seront examinés les griefs du recourant.</w:t>
      </w:r>
    </w:p>
    <w:p>
      <w:r>
        <w:rPr>
          <w:b/>
        </w:rPr>
        <w:t>E. 1.3</w:t>
      </w:r>
    </w:p>
    <w:p>
      <w:r>
        <w:t>Pour le surplus, 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relation avec l' art. 116 LTF ), ce que le recourant doit démontrer d'une manière circonstanciée et précise, conformément aux exigences de motivation posées à l' art. 106 al. 2 LTF (par renvoi de l' art. 117 LTF ; cf. ATF 133 III 439 consid. 3.2 p. 444 s.).</w:t>
      </w:r>
    </w:p>
    <w:p>
      <w:r>
        <w:rPr>
          <w:b/>
        </w:rPr>
        <w:t>E. 2.1</w:t>
      </w:r>
    </w:p>
    <w:p>
      <w:r>
        <w:t>Le recourant se réfère en premier lieu au principe d'égalité entre concurrents, déduit de la liberté économique ( art. 27 Cst. ), que le législateur a notamment ancré, en matière de marchés publics, à l'art. 1er al. 3 let. b de l'Accord intercantonal du 25 novembre 1994/ 15 mars 2001 sur les marchés publics (ci-après: AIMP ou Accord intercantonal), en vigueur - dans sa version révisée - depuis le 5 août 2003 pour le canton du Valais (RO 2003 2373). Il soutient que ce principe, également concrétisé en matière de marchés publics par l'exigence d'assurer une concurrence efficace entre soumissionnaires et d'assurer la transparence des procédures (cf. art. 1er al. 3 let. a et c AIMP), faisait en l'espèce obligation à l'Etat du Valais d'annoncer à l'avance dans les documents d'appel d'offres les sous-critères d'adjudication et leurs taux de pondération respectifs tels qu'ils ressortaient de la grille d'évaluation appliquée pour noter les concurrents. En jugeant que l'adjudicateur pouvait taire l'existence de cette grille aux soumissionnaires, le Tribunal cantonal aurait ainsi violé les principes de liberté économique et d'égalité entre concurrents et fait une application insoutenable de l' art. 3 al. 3 let . c AIMP garantissant la transparence des procédures de passation des marchés publics.</w:t>
      </w:r>
    </w:p>
    <w:p>
      <w:r>
        <w:t>On peut se demander si le grief est suffisamment motivé au sens de l' art. 106 al. 2 LTF . Le recourant n'explique en effet pas précisément en quoi consisterait l'atteinte aux droits constitutionnels dont il se prévaut, se contentant d'affirmer que leur violation tiendrait dans le seul fait, pour l'adjudicateur, de n'avoir pas communiqué aux soumissionnaires la grille d'évaluation litigieuse pendant la phase d'appel d'offres. Quoi qu'il en soit, la question de la recevabilité du grief invoqué peut rester indécise, car celui-ci est de toute façon mal fondé.</w:t>
      </w:r>
    </w:p>
    <w:p>
      <w:r>
        <w:t>Selon la jurisprudence, le principe de la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(cf. ATF 130 I 241 consid. 5.1 p. 248; 125 II 86 consid. 7c p. 101 et les références citées).</w:t>
      </w:r>
    </w:p>
    <w:p>
      <w:r>
        <w:t>En l'espèce, le recourant ne soutient pas que les sous-critères élaborés par l'adjudicateur ne seraient pas appropriés pour concrétiser les critères principaux énoncés dans le dossier de soumission. Il ne prétend pas davantage, sous réserve des griefs examinés ci-après (consid. 2.2 à 2.4), que la grille d'évaluation appliquée par l'adjudicateur consacrerait un abus ou un excès du pouvoir d'appréciation de l'adjudicateur. En réalité, son argumentation s'épuise dans l'affirmation toute générale que cette grille d'évaluation et les sous-critères litigieux qu'elle contient devaient, pour respecter les principes applicables en matière de marchés publics, impérativement figurer dans le dossier de soumission remis aux candidats. Dans la mesure où une telle exigence ne vise, selon la jurisprudence, que des situations particulières dont le recourant n'établit pas l'existence pour la présente espèce, le grief s'avère mal fondé.</w:t>
      </w:r>
    </w:p>
    <w:p>
      <w:r>
        <w:rPr>
          <w:b/>
        </w:rPr>
        <w:t>E. 2.2</w:t>
      </w:r>
    </w:p>
    <w:p>
      <w:r>
        <w:t>Dans un deuxième moyen, le recourant juge inadmissible que le sous-critère "fonctionnalités de base", dont le taux de pondération n'a pas été annoncé aux soumissionnaires, ait joué un rôle plus important dans l'adjudication que le critère principal du "prix". Il estime que les premiers juges ont violé le principe de la transparence et fait preuve d'arbitraire en retenant que l'importance du sous-critère précité se laissait déduire des circonstances au vu du nombre de pages qui lui étaient consacrées dans le dossier de soumission.</w:t>
      </w:r>
    </w:p>
    <w:p>
      <w:r>
        <w:t>Le Tribunal cantonal a constaté que le critère du "prix" avait objectivement, selon la documentation remise aux participants à la procédure, un taux de pondération inférieur à celui du "produit" (30 % pour le prix; 50 % pour le produit). Il en a déduit "qu'on ne pouvait [ainsi] exclure qu'un des facteurs de notation de ce second critère aurait un poids avoisinant ou dépassant celui de l'autre" (arrêt attaqué, consid. 6a/cc). Contrairement à ce que soutient le recourant, les premiers juges ne se sont donc pas seulement fondés sur le nombre de pages dévolues au sous-critère "fonctionnalités de base" dans le dossier de soumission pour admettre que les soumissionnaires devaient se rendre compte de l'importance de cet élément. Au demeurant, il n'est nullement insoutenable de considérer que, si le dossier de soumission décrit de manière particulièrement détaillée et approfondie un sous-critère, c'est le signe que l'adjudicateur y attache une grande importance. Or, selon les constatations non contestées du Tribunal cantonal, plus du tiers de la documentation remise aux candidats portait, en l'espèce, sur les fonctionnalités attendues du logiciel faisant l'objet de la soumission. Le grief est dès lors mal fondé.</w:t>
      </w:r>
    </w:p>
    <w:p>
      <w:r>
        <w:rPr>
          <w:b/>
        </w:rPr>
        <w:t>E. 2.3</w:t>
      </w:r>
    </w:p>
    <w:p>
      <w:r>
        <w:t>Le recourant voit également une violation de la liberté économique garantissant l'égalité entre concurrents et un abus du pouvoir d'appréciation dans le fait que le Tribunal cantonal lui ait donné seulement un point sur cinq à chacun des quatre sous-critères bis (soit "J2EE", "Weblogic", "Oracle" et "Solaris") concrétisant le sous-critère des "contraintes techniques". Il estime en effet que, du moment que les premiers juges considéraient que son logiciel était compatible avec les standards informatiques utilisés par l'Etat du Valais, ils devaient le mettre au bénéfice de la note maximale prévue à cet effet, soit cinq points pour chacun des quatre sous-critères bis litigieux.</w:t>
      </w:r>
    </w:p>
    <w:p>
      <w:r>
        <w:t>Le Tribunal cantonal a constaté que les parties ne s'entendaient pas sur le sens et la portée exacte de l'exigence de compatibilité du logiciel posée au ch. 2.2 du dossier de soumission. Pour l'adjudicateur, cette exigence signifiait que le logiciel proposé devait pouvoir être installé et s'intégrer tel quel dans l'environnement informatique de l'Etat du Valais, sans qu'il faille recourir à des aménagements entraînant des coûts supplémentaires. Le recourant a compris au contraire que la nécessité de procéder à de tels aménagements n'était, en soi, pas proscrite par le ch. 2.2 précité du dossier de soumission, vu la réponse suivante de l'adjudicateur à une question de sa part: "Concernant le point 2.2 de l'appel d'offre: L'application [ne] doit pas obligatoirement être développée avec Oracle, par contre elle doit impérativement être webisée et accessible uniquement depuis les ports http 80 et SSL 443 pour des raisons de sécurité" (courriel du 30 août 2006). Le Tribunal cantonal a considéré, sur la base notamment de certaines attestations produites par le recourant, que l'acception relativement large de la notion de compatibilité, telle que comprise par la Société 2, ne paraissait pas inhabituelle dans la branche. Il a cependant refusé d'accorder le maximum de points au recourant pour les sous-critères bis litigieux, car ce "serait gommer l'avantage qu'est pour le client la faculté d'introduire dans ses standards actuels un nouveau logiciel qui pourrait y être installé et y fonctionner sans le potentiel d'inconvénients de la solution offerte par [la Société 2. En effet, s'il] devait accepter l'offre du recourant, l'Etat devrait se procurer un serveur ad hoc, y installer les systèmes spécifiques prévus dans cette offre et former du personnel pour la maintenance de l'ensemble de ces systèmes." Afin de ne pas "empiéter à l'excès sur la marge d'appréciation du Conseil d'Etat", le Tribunal cantonal a corrigé la notation en la modulant. Alors que celle-ci prévoyait initialement soit la note de 0 soit celle de 5, les juges ont octroyé un point à la Société 2 pour chacun des quatre sous-critères bis litigieux; ils ont également constaté que le soumissionnaire évincé n'aurait pas emporté le marché même s'il avait bénéficié de 2,5 points pour chacun des sous-critères bis en cause.</w:t>
      </w:r>
    </w:p>
    <w:p>
      <w:r>
        <w:t>Il apparaît ainsi que le Tribunal cantonal a réévalué quelque peu les notes du recourant, afin d'atténuer les conséquences d'une stricte interprétation de la notion de compatibilité, telle que comprise par l'adjudicateur, et de tenir compte du fait que l'exigence de compatibilité, au sens où l'entendait la Société 2, pouvait également se concilier avec le ch. 2.2 du dossier de soumission. En d'autres termes, le Tribunal cantonal n'a privilégié aucune des interprétations en présence, optant pour une solution intermédiaire qui ménage tout à la fois les intérêts de l'adjudicateur et du recourant. Il est douteux que cette solution soit conforme au principe de la transparence, car elle revient à modifier une règle de notation après l'ouverture des offres, ce qui autorise toutes les manipulations: comme l'ont constaté les premiers juges, la grille d'évaluation prévoyait en effet la note 5 en cas de compatibilité du logiciel, et la note 0 en cas d'incompatibilité, sans possibilité d'échelon intermédiaire. Il ne suffit toutefois pas, dans un recours fondé sur l'arbitraire, que la décision attaquée soit insoutenable dans sa motivation pour que le Tribunal fédéral en prononce l'annulation; il faut encore qu'elle soit arbitraire dans son résultat (cf. ATF 133 I 149 consid. 3.1 p. 153 et les arrêts cités). En l'espèce, la solution des premiers juges équivaut, dans son résultat, à confirmer la décision d'adjudication par laquelle le recourant a obtenu la note de 0 pour les sous-critères bis se référant à la compatibilité. Or, on ne saurait dire que le ch. 2.2 du dossier de soumission ne pouvait se comprendre dans le sens proposé par l'adjudicateur, soit comme excluant qu'un logiciel puisse être qualifié de "compatible" si son intégration dans l'environnement informatique de l'Etat du Valais nécessite, comme l'offre de la Société 2, des aménagements engendrant des coûts additionnels (achat d'un serveur supplémentaire, installation sur ce serveur du système offert, formation du personnel de maintenance). Comme l'ont constaté les premiers juges, les précisions fournies par l'adjudicateur dans le courriel précité du 30 août 2006 ne s'opposent pas à une telle interprétation, car "on ne peut en inférer qu'un logiciel développé autrement qu'avec Oracle ne pourrait nécessairement pas s'intégrer sans produits supplémentaires dans l'environnement informatique décrit dans le ch. 2.2 du [dossier de soumission]" (arrêt attaqué, consid. 6a/ff).</w:t>
      </w:r>
    </w:p>
    <w:p>
      <w:r>
        <w:t>Partant, le moyen est mal fondé.</w:t>
      </w:r>
    </w:p>
    <w:p>
      <w:r>
        <w:rPr>
          <w:b/>
        </w:rPr>
        <w:t>E. 2.4</w:t>
      </w:r>
    </w:p>
    <w:p>
      <w:r>
        <w:t>Le recourant soutient encore que le Tribunal cantonal a fait preuve d'arbitraire en lui donnant la note 1 aux sous-critères bis litigieux, alors que seule la note 5 pouvait, selon la grille d'évaluation, entrer en ligne de compte. Du moment que l'attribution de la note 0 n'était, comme on l'a vu (supra consid. 2.3), pas insoutenable dans son résultat, le moyen soulevé par le recourant tombe à faux.</w:t>
      </w:r>
    </w:p>
    <w:p>
      <w:r>
        <w:rPr>
          <w:b/>
        </w:rPr>
        <w:t>E. 2.5</w:t>
      </w:r>
    </w:p>
    <w:p>
      <w:r>
        <w:t>Enfin, le recourant invoque la protection de la bonne foi, mais ne développe aucunement ce grief dans sa motivation. Il ne sera donc pas entré en matière sur celui-ci (cf. supra consid. 1.2).</w:t>
      </w:r>
    </w:p>
    <w:p>
      <w:r>
        <w:rPr>
          <w:b/>
        </w:rPr>
        <w:t>E. 3</w:t>
      </w:r>
    </w:p>
    <w:p>
      <w:r>
        <w:t>Il suit de ce qui précède que le recours constitutionnel subsidiaire doit être rejeté dans la mesure où il est recevable.</w:t>
      </w:r>
    </w:p>
    <w:p>
      <w:r>
        <w:t>Succombant, le recourant supportera un émolument judiciaire ( art. 65 et 66 LTF ). Il n'est alloué de dépens ni à l'Etat du Valais (cf. art. 68 al. 3 LTF ), ni à la Société 1 qui a procédé devant le Tribunal fédéral sans recourir au service d'un avocat (cf. art. 68 al. 2 LTF en relation avec l'art. 1er let. a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