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20/2009 vom 28. August 2009</w:t>
      </w:r>
    </w:p>
    <w:p>
      <w:r>
        <w:t>Bundesgericht, 2009-08-28, DE</w:t>
      </w:r>
    </w:p>
    <w:p>
      <w:r>
        <w:rPr>
          <w:b/>
        </w:rPr>
        <w:t xml:space="preserve">Quelle: </w:t>
      </w:r>
      <w:r>
        <w:t>https://mcp.opencaselaw.ch/entscheid/bger_2D_20_2009</w:t>
      </w:r>
    </w:p>
    <w:p>
      <w:r>
        <w:t>FR: TF 2D 20/2009 du 28 août 2009</w:t>
      </w:r>
    </w:p>
    <w:p>
      <w:r>
        <w:t>IT: TF 2D 20/2009 del 28 agosto 2009</w:t>
      </w:r>
    </w:p>
    <w:p>
      <w:pPr>
        <w:pStyle w:val="Heading2"/>
      </w:pPr>
      <w:r>
        <w:t>Regeste</w:t>
      </w:r>
    </w:p>
    <w:p>
      <w:r>
        <w:t>Staats- und Bundessteuer 2004-2005 / Erlass | Öffentliche Finanzen &amp; Abgaberecht</w:t>
      </w:r>
    </w:p>
    <w:p>
      <w:pPr>
        <w:pStyle w:val="Heading2"/>
      </w:pPr>
      <w:r>
        <w:t>Erwägungen</w:t>
      </w:r>
    </w:p>
    <w:p>
      <w:r>
        <w:rPr>
          <w:b/>
        </w:rPr>
        <w:t>E. 1.1</w:t>
      </w:r>
    </w:p>
    <w:p>
      <w:r>
        <w:t>Gegen Entscheide über die Stundung oder den Erlass von Abgaben ist die Beschwerde in öffentlich-rechtlichen Angelegenheiten ausgeschlossen ( Art. 83 lit. m BGG ). In Betracht fällt einzig die subsidiäre Verfassungsbeschwerde ( Art. 113 ff. BGG ). Diese setzt voraus, dass der Beschwerdeführer durch den angefochtenen Entscheid in rechtlich geschützten Interessen betroffen ist ( Art. 115 lit. b BGG ). Da die subsidiäre Verfassungsbeschwerde nur zur Geltendmachung der Verletzung verfassungsmässiger Rechte offen steht (vgl. Art. 116 BGG ), kann der Entscheid, mit dem ein Steuererlass verweigert worden ist, im Wesentlichen nur wegen Verletzung des verfassungsmässigen Verbots von Willkür ( Art. 9 BV ) angefochten werden. Dieses verschafft indessen für sich allein kein rechtlich geschütztes Interesse im Sinne von Art. 115 lit. b BGG ( BGE 133 I 185 E. 6). Zur Willkürbeschwerde ist daher nur legitimiert, wer sich auf eine gesetzliche Norm berufen kann, die ihm im Bereich seiner betroffenen und angeblich verletzten Interessen einen Rechtsanspruch einräumt. Ein solcher Anspruch auf Steuererlass besteht im Kanton Solothurn nicht: Gemäss § 182 Abs. 1 des Gesetzes über die Staats- und Gemeindesteuern des Kantons Solothurn vom 1. Dezember 1985 (StG/SO, in der Fassung vom 30. Juni 1999) können die geschuldeten Beträge ganz oder teilweise erlassen werden, wenn "der Steuerpflichtige durch besondere Verhältnisse wie Naturereignisse, Todesfall, Unglück, Krankheit, Arbeitslosigkeit, geschäftliche Rückschläge (...) in seiner Zahlungsfähigkeit stark beeinträchtigt" ist oder die "Bezahlung der Steuer, eines Zinses oder einer Busse zur grossen Härte würde". Das sind nur allgemeine Umschreibungen, die auf das Ermessen der Behörde verweisen. Auch die Steuerverordnung Nr. 11 vom 13. Mai 1986 über Zahlungserleichterungen, Erlass und Abschreibungen enthält nur die "Allgemeinen Grundsätze", welche für die Behörde wegleitend sein sollen, wie z.B. die Zukunftsaussichten oder die Zumutbarkeit von Einschränkungen in der Lebenshaltung. Weder aus § 182 Abs. 1 StG /SO noch aus der Steuerverordnung Nr. 11 ergibt sich, unter welchen Voraussetzungen dem Betroffenen der beantragte Vorteil zu gewähren ist (s. auch BGE 112 Ia 93 E. 2c S. 94 f.). Ein justiziabler Anspruch auf Steuererlass besteht im Kanton Solothurn daher nicht, wie das Bundesgericht wiederholt erkannt hat (Urteil 2D_21/2009 vom 19. Juni 2009; 2D_24/2009 vom 9. April 2009; 2D_1/2009 vom 8. Januar 2009; 2D_106/2008 vom 13. Oktober 2008; je mit weiteren Nachweisen). Das schliesst es aus, dass der Beschwerdeführer den Entscheid des Kantonalen Steuergerichts wegen Willkür anficht.</w:t>
      </w:r>
    </w:p>
    <w:p>
      <w:r>
        <w:rPr>
          <w:b/>
        </w:rPr>
        <w:t>E. 1.2</w:t>
      </w:r>
    </w:p>
    <w:p>
      <w:r>
        <w:t>Trotz fehlender Legitimation zur Geltendmachung der Verletzung des Willkürverbots ist es zulässig, mit subsidiärer Verfassungsbeschwerde die Verletzung jener Parteirechte zu rügen, deren Missachtung auf eine formelle Rechtsverweigerung hinausläuft. Das rechtlich geschützte Interesse ergibt sich diesfalls aus der Berechtigung der Partei, am Verfahren teilzunehmen (so genannte Star-Praxis, vgl. BGE 133 I 185 E. 6.2 S. 198; 114 Ia 307 E. 3c S. 312 f.). Eine solche Rüge erhebt der Beschwerdeführer. Er beanstandet, dass Richter Bargetzi am angefochtenen Entscheid mitgewirkt habe, obschon dieser befangen sei. Wie es sich damit verhält, ist im Folgenden zu prüfen.</w:t>
      </w:r>
    </w:p>
    <w:p>
      <w:r>
        <w:rPr>
          <w:b/>
        </w:rPr>
        <w:t>E. 2.1</w:t>
      </w:r>
    </w:p>
    <w:p>
      <w:r>
        <w:t>Nach Art. 30 Abs. 1 BV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134 I 238 E. 2.1 S. 240 mit Hinweisen; ferner BGE 135 I 14 E. 2 S. 15). Voreingenommenheit und Befangenheit in diesem Sinne werden nach der Rechtsprechung angenommen, wenn im Einzelfall Umstände vorliegen, die geeignet sind, Misstrauen in die Unparteilichkeit des Richters zu erwecken.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mit Hinweisen). Eine gewisse Besorgnis der Voreingenommenheit und damit Misstrauen in das Gericht kann namentlich dann objektiv begründet sein, wenn ein (nebenamtlicher) Richter in der Sache einer Prozesspartei bereits in anderer Weise tätig geworden ist, beispielsweise als Anwalt, Rechtsberater usw. ( BGE 135 I 14 E. 4 S. 15 ff. mit Hinweisen).</w:t>
      </w:r>
    </w:p>
    <w:p>
      <w:r>
        <w:rPr>
          <w:b/>
        </w:rPr>
        <w:t>E. 2.2</w:t>
      </w:r>
    </w:p>
    <w:p>
      <w:r>
        <w:t>Der Beschwerdeführer macht geltend, Richter Bargetzi habe am Entscheid über das Erlassgesuch mitgewirkt, obschon er für die gleichen Steuerjahre die Steuererklärungen für den Beschwerdeführer erstellt habe. Dabei soll es zu Unstimmigkeiten gekommen sein. Auch in weiteren Belangen erachtet sich der Beschwerdeführer durch seinen Treuhänder oder dessen Angestellte nicht richtig behandelt. Die Vorinstanz nahm in ihrer Vernehmlassung zum Vorwurf keine Stellung, bestritt ihn aber auch nicht. Unter diesen Gegebenheiten kann objektiv nicht von einem unbelasteten Verhältnis zwischen Richter und Beschwerdeführer ausgegangen werden und muss sich jener den Anschein der Befangenheit vorwerfen lassen. Zwar wird die Besetzung des Steuergerichts zweifellos öffentlich bekannt gegeben und ist grundsätzlich ein Ablehnungsbegehren vorab zu erheben. Bei sieben ordentlichen Mitgliedern musste der Beschwerdeführer aber nicht damit rechnen, dass eines der drei Ersatzmitglieder für die Sitzung aufgeboten würde, und schon gar nicht sein Treuhänder in der streitigen Steuersache (s. auch Isabelle Häner, in: Basler Kommentar, Bundesgerichtsgesetz, N. 2 zu Art. 36 BGG ). Ein Ablehnungsbegehren des Beschwerdeführers vor dem Entscheid konnte daher nicht verlangt werden. Weil Richter Bargetzi am angefochtenen Entscheid mitwirkte, ist Art. 30 Abs. 1 BV verletzt und der angefochtene Entscheid hinsichtlich der Staatssteuer aufzuheben. II. Direkte Bundessteuer</w:t>
      </w:r>
    </w:p>
    <w:p>
      <w:r>
        <w:rPr>
          <w:b/>
        </w:rPr>
        <w:t>E. 3.1</w:t>
      </w:r>
    </w:p>
    <w:p>
      <w:r>
        <w:t>Hinsichtlich der direkten Bundessteuer ist die Verfassungsbeschwerde gegen den kantonalen Entscheid im gleichen Umfang zulässig wie hinsichtlich der Staatssteuer.</w:t>
      </w:r>
    </w:p>
    <w:p>
      <w:r>
        <w:rPr>
          <w:b/>
        </w:rPr>
        <w:t>E. 3.2</w:t>
      </w:r>
    </w:p>
    <w:p>
      <w:r>
        <w:t>Nach Art. 4 Abs. 1 der Verordnung des Eidgenössischen Finanzdepartements (EFD) vom 19. Dezember 1994 über die Behandlung von Erlassgesuchen für die direkte Bundessteuer (Steuererlassverordnung; SR 642.121) entscheidet die Eidgenössische Erlasskommission für die direkte Bundessteuer über Eingaben, mit denen um Erlass der direkten Bundessteuer im Umfang von mindestens Fr. 5'000.-- pro Jahr ersucht wird. Über Gesuche, mit denen um Erlass der direkten Bundessteuer von weniger als Fr. 5'000.-- pro Jahr ersucht wird, entscheidet die kantonale Erlassbehörde (Art. 4 Abs. 2 Steuererlassverordnung). Daraus erhellt, dass hinsichtlich des Gesuchs um Erlass der direkten Bundessteuer 2005 in der Höhe von Fr. 44'610.60 das kantonale Finanzdepartement (Erlassabteilung) zum Entscheid über das Erlassgesuch nicht zuständig war. Das angefochtene Urteil und die zugrundeliegende Departementsverfügung sind wegen offensichtlicher Kompetenzüberschreitung nichtig und daher aufzuheben. Es ist Sache des Departements, das Erlassgesuch hinsichtlich der direkten Bundessteuer 2005 zuständigkeitshalber an die Eidgenössische Erlasskommission für die direkte Bundessteuer zu überweisen.</w:t>
      </w:r>
    </w:p>
    <w:p>
      <w:r>
        <w:rPr>
          <w:b/>
        </w:rPr>
        <w:t>E. 3.3</w:t>
      </w:r>
    </w:p>
    <w:p>
      <w:r>
        <w:t>Zu entscheiden ist hinsichtlich des Gesuchs um Erlass der direkten Bundessteuer 2004 in der Höhe von Fr. 105.--. In Bezug auf diese Steuer ist die Beschwerde wegen Befangenheit des Gerichts ( Art. 30 Abs. 1 BV ) ebenfalls begründet und der angefochtene Entscheid aufzuheben.</w:t>
      </w:r>
    </w:p>
    <w:p>
      <w:r>
        <w:rPr>
          <w:b/>
        </w:rPr>
        <w:t>E. 4</w:t>
      </w:r>
    </w:p>
    <w:p>
      <w:r>
        <w:t>Bei diesem Verfahrensausgang wird der Kanton Solothurn kostenpflichtig ( Art. 65 und 66 Abs. 1 BGG ). Entschädigungspflichtige private Kosten sind dem Beschwerdeführer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