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2D_17/2019 vom 26. April 2019</w:t>
      </w:r>
    </w:p>
    <w:p>
      <w:r>
        <w:t>Bundesgericht, 2019-04-26, DE</w:t>
      </w:r>
    </w:p>
    <w:p>
      <w:r>
        <w:rPr>
          <w:b/>
        </w:rPr>
        <w:t xml:space="preserve">Quelle: </w:t>
      </w:r>
      <w:r>
        <w:t>https://mcp.opencaselaw.ch/entscheid/bger_2D_17_2019</w:t>
      </w:r>
    </w:p>
    <w:p>
      <w:r>
        <w:t>FR: TF 2D_17/2019 du 26 avril 2019</w:t>
      </w:r>
    </w:p>
    <w:p>
      <w:r>
        <w:t>IT: TF 2D_17/2019 del 26 aprile 2019</w:t>
      </w:r>
    </w:p>
    <w:p>
      <w:pPr>
        <w:pStyle w:val="Heading2"/>
      </w:pPr>
      <w:r>
        <w:t>Erwägungen</w:t>
      </w:r>
    </w:p>
    <w:p>
      <w:r>
        <w:rPr>
          <w:b/>
        </w:rPr>
        <w:t>E. 1.1</w:t>
      </w:r>
    </w:p>
    <w:p>
      <w:r>
        <w:t>Der ukrainische Staatsangehörige A.________ (geb. 1998) reiste am 28. Juni 2016 im Rahmen des Familiennachzuges zu seiner hier aufenthaltsberechtigten Mutter in die Schweiz ein und erhielt eine bis zum 25. Juni 2017 befristete Aufenthaltsbewilligung. Am 28. Juni 2016 reiste er bereits wieder in die Ukraine zurück. Nach einer 2017 erfolgten Wiedereinreise stellte das Amt für Migration und Personenstand des Kantons Bern (MIP) fest, die Aufenthaltsbewilligung von A.________ sei erloschen, und wies ihn aus der Schweiz weg. Am 10. Januar 2018 stellte dieser beim MIP ein Gesuch um Erteilung einer Aufenthaltsbewilligung zwecks Aus- und Weiterbildung. Mit Verfügung vom 9. Februar 2018 lehnte das MIP dieses Gesuch ab und wies A.________ ein weites Mal aus der Schweiz weg. Die kantonalen Rechtsmittel blieben erfolglos (Entscheid der Polizei- und Militärdirektion des Kantons Bern [POM] vom 7. September 2018, Urteil des Verwaltungsgerichts des Kantons Bern vom 19. März 2019).</w:t>
      </w:r>
    </w:p>
    <w:p>
      <w:r>
        <w:rPr>
          <w:b/>
        </w:rPr>
        <w:t>E. 1.2</w:t>
      </w:r>
    </w:p>
    <w:p>
      <w:r>
        <w:t>Mit Eingabe vom 24. April 2019 führt A.________ subsidiäre Verfassungsbeschwerde beim Bundesgericht mit dem Hauptantrag, das letztgenannte Urteil aufzuheben und ihm - dem Beschwerdeführer - eine Aufenthaltsbewilligung zu Aus- und Weiterbildungszwecken zu erteilen. Gleichzeitig wird um Gewährung der aufschiebenden Wirkung - auch superprovisorisch - ersucht.</w:t>
      </w:r>
    </w:p>
    <w:p>
      <w:r>
        <w:t>Ein Schriftenwechsel oder andere Instruktionsmassnahmen sind nicht durchgeführt worden.</w:t>
      </w:r>
    </w:p>
    <w:p>
      <w:r>
        <w:t>Mit dem vorliegenden instanzabschliessenden Urteil werden die Gesuche um aufschiebende Wirkung gegenstandslos.</w:t>
      </w:r>
    </w:p>
    <w:p>
      <w:r>
        <w:rPr>
          <w:b/>
        </w:rPr>
        <w:t>E. 2.1</w:t>
      </w:r>
    </w:p>
    <w:p>
      <w:r>
        <w:t>Der Beschwerdeführer hat keinen Anspruch auf die streitige Aufenthaltsbewilligung, weshalb die Beschwerde in öffentlich-rechtlichen Angelegenheiten unzulässig ist (Art. 83 lit. c Ziff. 2 BG) und als bundesrechtliches Rechtsmittel allein die subsidiäre Verfassungsbeschwerde zur Verfügung steht ( Art. 113 ff. BGG ), welches Rechtsmittel der Beschwerdeführer denn auch ausdrücklich erhebt.</w:t>
      </w:r>
    </w:p>
    <w:p>
      <w:r>
        <w:rPr>
          <w:b/>
        </w:rPr>
        <w:t>E. 2.2</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namentlich kann er nicht die Verletzung des Willkürverbots rügen ( BGE 133 I 185 ). Das gilt auch in Bezug auf das allgemeine Rechtsgleichheitsgebot gemäss Art. 8 Abs. 1 BV (Urteil 2D_49/2010 vom 22. September 2010 E. 2 mit Hinweisen). Beim ebenfalls angerufenen Verhältnismässigkeitsgrundsatz handelt es sich bloss um ein verfassungsmässiges Prinzip, nicht aber um ein mit subsidiärer Verfassungsbeschwerde selbstständig anrufbares verfassungsmässiges Recht ( BGE 134 I 153 E. 4.1 S. 156).</w:t>
      </w:r>
    </w:p>
    <w:p>
      <w:r>
        <w:t>Der Beschwerdeführer ist, was die materielle Bewilligungsfrage betrifft, unter keinem Titel zur Beschwerde legitimiert. Die Beschwerde erschöpft sich in der Rüge einer willkürlichen Anwendung von Bestimmungen, die keinen Rechtsanspruch gewähren, was wie soeben erwähnt unzulässig ist.</w:t>
      </w:r>
    </w:p>
    <w:p>
      <w:r>
        <w:rPr>
          <w:b/>
        </w:rPr>
        <w:t>E. 2.3</w:t>
      </w:r>
    </w:p>
    <w:p>
      <w:r>
        <w:t>Trotz fehlender Legitimation in der Sache selbst ist der Ausländer zur Rüge berechtigt, ihm zustehende Verfahrensgarantien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Der Beschwerdeführer rügt, das angefochtene Urteil verletzte seinen Anspruch auf rechtliches Gehör. Was er dazu vorbringt, läuft auf eine im beschriebenen Sinn unzulässige Kritik am vorinstanzlichen Sachentscheid hinaus; andere, im Sinne der "Star-Praxis" unabhängige Rügen enthält die Beschwerde nicht (vgl. dazu Urteile 2D_340/2018 vom 23. Mai 2018 E. 2.4 und 2C_138/2016 vom 9. Februar 2016 E. 2.4). Auf die Verfassungsbeschwerde ist mangels zulässiger Rügen (vgl. Art. 108 Abs. 1 lit. a BGG ) mit Entscheid des Abteilungspräsidenten als Einzelrichter im vereinfachten Verfahren nach Art. 108 BGG nicht einzutreten.</w:t>
      </w:r>
    </w:p>
    <w:p>
      <w:r>
        <w:rPr>
          <w:b/>
        </w:rPr>
        <w:t>E. 3</w:t>
      </w:r>
    </w:p>
    <w:p>
      <w:r>
        <w:t>Ausgangsgemäss trägt der Beschwerdeführer die Gerichtskosten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