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2C_9/2017 vom 7. August 2020</w:t>
      </w:r>
    </w:p>
    <w:p>
      <w:r>
        <w:t>Bundesgericht, 2020-08-07, IT</w:t>
      </w:r>
    </w:p>
    <w:p>
      <w:r>
        <w:rPr>
          <w:b/>
        </w:rPr>
        <w:t xml:space="preserve">Quelle: </w:t>
      </w:r>
      <w:r>
        <w:t>https://mcp.opencaselaw.ch/entscheid/bger_2C_9_2017</w:t>
      </w:r>
    </w:p>
    <w:p>
      <w:r>
        <w:t>FR: TF 2C_9/2017 du 7 août 2020</w:t>
      </w:r>
    </w:p>
    <w:p>
      <w:r>
        <w:t>IT: TF 2C_9/2017 del 7 agosto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w:t>
      </w:r>
    </w:p>
    <w:p>
      <w:r>
        <w:rPr>
          <w:b/>
        </w:rPr>
        <w:t>E. 1.2</w:t>
      </w:r>
    </w:p>
    <w:p>
      <w:r>
        <w:t>La Camera di diritto tributario si è lecitamente pronunciata in un solo giudizio sia sulle imposte cantonali che sull'imposta federale diretta. In queste circostanze, anche il ricorrente poteva formulare critiche e conclusioni valide per le due categorie di imposte, senza fare ulteriori distinzioni ( DTF 135 II 260 consid. 1.3 pag. 262 seg.). Dato che vi sono dei Cantoni che emanano in ogni caso decisioni indipendenti per ogni tipo d'imposta, il Tribunale federale ha comunque aperto due incarti distinti, uno per le imposte cantonali (2C_9/2017) e uno per l'imposta federale diretta (2C_10/2017), che si giustifica ora di congiungere (sentenza 2C_415/2012 del 2 novembre 2012 consid. 1.1).</w:t>
      </w:r>
    </w:p>
    <w:p>
      <w:r>
        <w:rPr>
          <w:b/>
        </w:rPr>
        <w:t>E. 2.1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interposto nei termini dal destinatario del giudizio contestato (art. 100 cpv. 1 in relazione con l'art. 46 cpv. 1 lett. c LTF), con interesse al suo annullamento ( art. 89 cpv. 1 LTF ), ed è pertanto di principio ricevibile come ricorso in materia di diritto pubblico (art. 82 segg. LTF; al riguardo cfr. anche l'art. 73 della legge federale del 14 dicembre 1990 sull'armonizzazione delle imposte dirette dei Cantoni e dei Comuni [LAID; RS 642.14]).</w:t>
      </w:r>
    </w:p>
    <w:p>
      <w:r>
        <w:t>In ragione dell'effetto devolutivo del ricorso interposto, il ricorrente è però legittimato a formulare conclusioni riguardanti solo l'annullamento e la riforma della sentenza della Camera di diritto tributario. Nella misura in cui sono direttamente volte all'annullamento delle decisioni dell'Ufficio circondariale di tassazione di Bellinzona del 17 dicembre 2014, le conclusioni tratte nel ricorso sono quindi inammissibili ( DTF 134 II 142 consid. 1.4 pag. 144).</w:t>
      </w:r>
    </w:p>
    <w:p>
      <w:r>
        <w:rPr>
          <w:b/>
        </w:rPr>
        <w:t>E. 2.2</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 art. 106 cpv. 1 LTF ; DTF 131 II 710 consid. 1.2 pag. 713). Nondimeno, tenuto conto dell'onere di allegazione e motivazione posto dalla legge ( art. 42 cpv. 1 e 2 LTF ) si confronta di regola solo con le censure sollevate. Nell'atto di ricorso occorre pertanto spiegare in cosa consiste la lesione del diritto e su quali punti il giudizio contestato viene impugnato ( DTF 134 II 244 consid. 2.1 pag. 245 seg.). Generici rinvii ad argomentazioni sostenute davanti ad altre istanze non bastano ( DTF 133 II 396 consid. 3.2 pag. 400; sentenza 2C_420/2010 del 28 aprile 2011 consid. 1.4). Esigenze più severe valgono poi in relazione alla violazione di diritti fondamentali; simili critiche sono in effetti trattate solo se sono state motivate con precisione ( art. 106 cpv. 2 LTF ; DTF 133 II 249 consid. 1.4.2 pag. 254).</w:t>
      </w:r>
    </w:p>
    <w:p>
      <w:r>
        <w:rPr>
          <w:b/>
        </w:rPr>
        <w:t>E. 2.3</w:t>
      </w:r>
    </w:p>
    <w:p>
      <w:r>
        <w:t>Per quanto riguarda i fatti, il Tribunale federale fonda il suo ragionamento giuridico sull'accertamento che è stato svolto dall'autorità inferiore ( art. 105 cpv. 1 LTF ). Esso può scostarsene quando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w:t>
      </w:r>
    </w:p>
    <w:p>
      <w:r>
        <w:rPr>
          <w:b/>
        </w:rPr>
        <w:t>E. 2.4</w:t>
      </w:r>
    </w:p>
    <w:p>
      <w:r>
        <w:t>In relazione all'apprezzamento delle prove e all'accertamento dei fatti, il giudice del merito ha un ampio potere. Ammette cioè una violazione dell' art. 9 Cost. solo se l'istanza inferiore non ha manifestamente compreso il senso e la portata di un mezzo di prova, ha omesso di considerare un mezzo di prova pertinente senza un serio motivo oppure se, sulla base dei fatti raccolti, ha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t>L'impugnativa adempie solo in parte alle condizioni di motivazione esposte. Nella misura in cui non le rispetta, sfugge pertanto a un esame di questa Corte.</w:t>
      </w:r>
    </w:p>
    <w:p>
      <w:r>
        <w:rPr>
          <w:b/>
        </w:rPr>
        <w:t>E. 3.1</w:t>
      </w:r>
    </w:p>
    <w:p>
      <w:r>
        <w:t>Esprimendosi sul fatto che nel giudizio impugnato gli sarebbe stato rimproverato di non avere replicato né fornito altra documentazione alle osservazioni presentate dall'Ufficio di tassazione (concernenti quanto emerso dagli accertamenti fiscali effettuati), il ricorrente fa valere che in sede cantonale non era patrocinato e che, di riflesso, non era a conoscenza del diritto di replica spontanea riconosciuto dalla prassi. Aggiunge poi che, comunque sia, la Corte cantonale non l'ha esplicitamente informato in proposito né gli ha impartito un termine per inoltrare un allegato di replica. Ritiene quindi che la mancata esplicita contestazione da parte sua degli argomenti sollevati dall'autorità di tassazione non potrebbe in alcun modo essere interpretata come acquiescenza rispettivamente quale ammissione della fondatezza delle tesi dell'autorità fiscale, recisamente contestate poiché manifestamente infondate.</w:t>
      </w:r>
    </w:p>
    <w:p>
      <w:r>
        <w:t>Non è evidente determinare se viene censurata, da parte del ricorrente, la violazione del suo diritto di essere sentito, più precisamente del diritto di esprimersi sugli argomenti fatti valere dalle controparti oppure se egli si limita a riferire dello svolgimento del procedimento cantonale. Il quesito non merita di essere approfondito dato che, per i motivi esposti di seguito, anche se lamentasse la violazione del suo diritto di essere sentito, la critica si rivelerebbe comunque infondata e come tale andrebbe respinta.</w:t>
      </w:r>
    </w:p>
    <w:p>
      <w:r>
        <w:rPr>
          <w:b/>
        </w:rPr>
        <w:t>E. 3.2</w:t>
      </w:r>
    </w:p>
    <w:p>
      <w:r>
        <w:t>In forza dell' art. 29 cpv. 2 Cost. le parti hanno tra l'altro il diritto di prendere conoscenza di tutti gli argomenti sottoposti al tribunale e di determinarsi su di essi, a prescindere dal fatto che contengano o no elementi di fatto o diritto nuovi e siano atti a influenzare il giudizio. Ogni allegazione o prova prodotta va portata a conoscenza delle stesse, affinché possano decidere se usufruire o no della possibilità di prendere posizione; questa decisione non spetta al giudice ( DTF 139 I 189 consid. 3.2 pag. 191; 135 V 465 consid. 4.3.2 pag. 469). Per quanto riguarda l'esame degli atti, l'estensione di tale diritto risulta in primo luogo dalla legge ( art. 114 LIFD rispettivamente art. 187 LT; DTF 144 II 427 consid. 3.1.1 pag. 435; sentenza 2C_301/2009 del 15 ottobre 2009 consid. 2.2).</w:t>
      </w:r>
    </w:p>
    <w:p>
      <w:r>
        <w:t>In base alla giurisprudenza, il diritto di prendere conoscenza di tutte le argomentazioni o prove sottoposte al tribunale e di determinarsi su di esse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altrimenti si ritiene che vi abbia rinunciato. La prassi del Tribunale federale considera che la rinuncia non possa essere presunta prima che siano trascorsi almeno dieci giorni dalla notificazione (sentenza 2D_66/2014 del 2 luglio 2015 consid. 5 con ulteriori rinvii).</w:t>
      </w:r>
    </w:p>
    <w:p>
      <w:r>
        <w:rPr>
          <w:b/>
        </w:rPr>
        <w:t>E. 3.3</w:t>
      </w:r>
    </w:p>
    <w:p>
      <w:r>
        <w:t>In primo luogo va rilevato che, come emerge dalla sentenza impugnata (consid. 4.4 pag. 12) e non contestato dal ricorrente, egli è già stato oggetto di riprese di redditi nei periodi fiscali precedenti quelli ora oggetto di giudizio e all'epoca era rappresentato da un fiduciario (lo stesso di quello della G.________SA). Come constatato dalla Corte cantonale, gli importi aggiunti, inizialmente contestati, sono stati accettati dopo essere stati rettificati. In queste condizioni il ricorrente non può ora trincerarsi dietro una sua pretesa ignoranza dello svolgimento del procedimento. In ogni caso la prassi stessa esige che la parte che vuole esprimersi, sia essa patrocinata o no, si attivi non appena ricevuto le determinazioni di controparte, inviando una risposta spontanea oppure chiedendo all'autorità competente un termine a tal fine. Ciò che il ricorrente non ha fatto. Non va poi tralasciato che le osservazioni dell'Ufficio di tassazione gli sono state trasmesse il 30 gennaio 2015, mentre la notifica della sentenza è avvenuta il 17 novembre 2016. Egli ha quindi avuto a disposizione tempo più che a sufficienza per esaminare questo documento e per informarsi presso un fiduciario (come fatto gli anni precedenti), un avvocato o direttamente presso l'autorità giudicante sui passi da intraprendere per esprimere, se del caso, il proprio disaccordo con il contenuto dello stesso e corroborare le proprie affermazioni. Ciò che, ancora una volta, non ha fatto. È quindi ora del tutto inopportuno lamentarsi di non avere potuto esprimersi sulle determinazioni dell'Ufficio di tassazione in sede cantonale.</w:t>
      </w:r>
    </w:p>
    <w:p>
      <w:r>
        <w:t>I. Imposta federale diretta</w:t>
      </w:r>
    </w:p>
    <w:p>
      <w:r>
        <w:rPr>
          <w:b/>
        </w:rPr>
        <w:t>E. 4</w:t>
      </w:r>
    </w:p>
    <w:p>
      <w:r>
        <w:t>Come già illustrato, oggetto di disamina è la questione di sapere se a ragione le autorità cantonali hanno considerato che il qui ricorrente era uno degli azionisti o una persona comunque vicina alla G.________SA e che per questo motivo aveva beneficiato di prestazioni valutabili in denaro da parte della società, imponibili quali redditi nelle sue tassazioni concernenti gli anni 2007 e 2008.</w:t>
      </w:r>
    </w:p>
    <w:p>
      <w:r>
        <w:rPr>
          <w:b/>
        </w:rPr>
        <w:t>E. 4.1</w:t>
      </w:r>
    </w:p>
    <w:p>
      <w:r>
        <w:t>Giusta l'art. 20 cpv. 1 lett. c LIFD,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 distribuzioni dissimulate di utili " menzionate all' art. 58 cpv. 1 lett. b LIFD . Una distribuzione dissimulata di utili è data quando, cumulativamente, (a) una società esegue una prestazione senza ottenere una controprestazione corrispondente, (b) questa prestazione è accordata ad un azionista o a una persona comunque vicina, (c) non sarebbe invece stata concessa alle medesime condizioni a un qualunque terzo e (d) il carattere particolarmente vantaggioso della prestazione in discussione è riconoscibile per gli organi societari ( DTF 143 IV 228 consid. 4.1 pag. 231; 140 II 88 consid. 4.1 pag. 92; 131 II 593 consid. 5.1 pag. 607; sentenze 2C_79/2019 del 30 gennaio 2020 consid. 5.1 e 2C_898/2019 del 21 gennaio 2020 consid. 5.1 e rispettivi rinvii).</w:t>
      </w:r>
    </w:p>
    <w:p>
      <w:r>
        <w:t>Tra le distribuzioni dissimulate di utili rientrano le rinunce a determinati proventi in favore dell'azionista o della persona vicina, con una corrispondente riduzione presso la società dell'utile esposto nel conto econo mico. Questa forma di prestazione valutabile in denaro sussiste di regola quando la società non rivendica diritti su introiti di sua competenza, che sono così incassati direttamente dall'azionista o dalla persona vicina, rispettivamente quando queste persone non forniscono la controprestazione che la società esigerebbe da un terzo (sentenze 2C_79/2019 citata consid. 5.1, secondo paragrafo, e 2C_91/2019 del 12 settembre 2019 consid. 3.2 e rispettivi richiami).</w:t>
      </w:r>
    </w:p>
    <w:p>
      <w:r>
        <w:t>Infine va ricordato che, per prassi, la prova diretta che il beneficiario della prestazione è un azionista o un terzo vicino alla società contribuente non è necessaria, essendo infatti sufficiente che non sia possibi le spiegare in alcun altro modo lo svolgimento dell'insolita operazione (sentenza 2C_16/2015 del 6 agosto 2015 consid. 2.5.3 e richiami).</w:t>
      </w:r>
    </w:p>
    <w:p>
      <w:r>
        <w:rPr>
          <w:b/>
        </w:rPr>
        <w:t>E. 4.2</w:t>
      </w:r>
    </w:p>
    <w:p>
      <w:r>
        <w:t>Secondo consolidata giurisprudenza, i fatti che determinano o aumentano il carico fiscale vanno allegati e provati dal fisco, quelli che lo riducono o lo sopprimono vanno invece addotti e comprovati dal contribuente ( DTF 140 II 248 consid. 3.5 pag. 252). In relazione a fattispecie relative a prestazioni valutabili in denaro, il fisco deve in particolare apportare la prova che la società ha accordato a un'azionista o a una persona vicina una prestazione senza ottenere una controprestazione adeguata; se le prove addotte dall'autorità costituiscono degli indizi sufficienti in merito all'esistenza di una simile sproporzione, spetta al contribuente dimostrare il contrario ( DTF 138 II 57 consid. 7.1 p. 66; 133 II 153 consid. 4.3 pag. 158). Dal momento in cui un fatto è considerato come stabilito, la questione dell'onere della prova non si pone più ( DTF 137 III 226 consid. 4.3 pag. 235; sentenze 2C_342/2017 del 12 aprile 2018 consid. 4.1; 2C_674/2015 del 26 ottobre 2017 consid. 7.4 e 2C_445/2015 del 26 agosto 2016 consid. 7.1).</w:t>
      </w:r>
    </w:p>
    <w:p>
      <w:r>
        <w:rPr>
          <w:b/>
        </w:rPr>
        <w:t>E. 5.1</w:t>
      </w:r>
    </w:p>
    <w:p>
      <w:r>
        <w:t>Esposto il quadro legale di riferimento, la Camera di diritto tributario ha considerato che i presupposti esatti per ammettere una distribuzione dissimulata di utili erano adempiuti nella fattispecie. Soffermandosi in primo luogo sul quesito di sapere se il ricorrente andasse ritenuto azionista o una persona comunque vicina alla società, la Corte cantonale, la quale si è fondata sulla ricostruzione fiscale operata dall'Ispettorato fiscale, segnatamente sul conto economico della G.________SA relativo al periodo dal 1° gennaio al 31 dicembre 2012 nonché sulla dichiarazione di tassazione 2012 della H.________ SA, ha rilevato in primo luogo che quell'anno l'affitto, dovuto dalla prima società alla seconda per i locali occupati dall'esercizio pubblico (ristorante e camere annesse) da lei gestiti, era stato corrisposto unicamente per i primi sei mesi. Ora il contratto di locazione prevedeva (dopo la prima scadenza fissata al 31 dicembre 2011) un rinnovo annuale con termine al 31 dicembre e tre mesi di preavviso per la disdetta. In queste condizioni il fatto che, cessata l'attività commerciale al 30 giugno 2012, la G.________SA aveva anche smesso di versare il canone di locazione dovuto alla H.________ SA, senza che quest'ultima avviasse poi le procedure usuali d'incasso, costituiva, a parere dei giudici ticinesi, un indizio significativo a conferma della vicinanza dell'azionariato tra le due società. Un simile comportamento non si sarebbe infatti verificato in un usuale rapporto tra proprietari locatari e conduttori terzi. Inoltre, anche se concerneva un periodo fiscale successivo (2012), la rinuncia appariva determinante pure per quelli</w:t>
      </w:r>
    </w:p>
    <w:p>
      <w:r>
        <w:t>sub judice , visto il suo carattere inusuale. I giudici cantonali hanno in seguito osservato che lo stipendio del contribuente, il quale aveva dapprima (2005-2008) lavorato per la B.________ Sagl (di cui era socio e gerente) e poi (2009-2012) per la G.________SA (pure come gerente e di cui andava considerato socio), società che svolgevano la stessa attività, era rimasto invariato tutti questi anni (fr. 6'000.-- lordi mensili). Successivamente hanno sottolineato che, sebbene citato in udienza dall'Ufficio di tassazione, il contribuente non si era presentato per determinarsi su quanto emerso dagli accertamenti fiscali eseguiti e che, in sede ricorsuale, non aveva replicato né fornito altra documentazione quando gli erano state comunicate le osservazioni dell'autorità di prime cure sulla questione litigiosa. Premesse queste considerazioni, la prossimità andava confermata così come andava condivisa la presunzione che il ricorrente era uno degli azionisti della G.________SA.</w:t>
      </w:r>
    </w:p>
    <w:p>
      <w:r>
        <w:t>Per finire la Camera di diritto tributario ha soggiunto che, già per i periodi fiscali 2005 e 2006, il fisco aveva aggiunto nelle tassazioni del contribuente altri redditi relativi a prestazioni valutabili in denaro da parte della B.________ Sagl e della G.________SA. Riprese che, dopo discussioni tra l'allora rappresentante del ricorrente e l'autorità fiscale in sede di udienza e rettifica degli importi in questione, erano state final mente accettate.</w:t>
      </w:r>
    </w:p>
    <w:p>
      <w:r>
        <w:rPr>
          <w:b/>
        </w:rPr>
        <w:t>E. 5.2</w:t>
      </w:r>
    </w:p>
    <w:p>
      <w:r>
        <w:t>Da parte sua il ricorrente, il quale contesta essere (stato) azionista della G.________SA e, di riflesso, avere beneficiato di distribuzione dissimulata di utili di detta società, adduce che l'unico debole argomento ritenuto dall'autorità precedente, la rinuncia a sei mensilità di pigione, si riferisce al 2012 e, quindi, ad un periodo successivo a quelli oggetto di disamina. Vista la differenza temporale tra i periodi fiscali, ritiene che non se ne può dedurre, salvo a cadere nell'arbitrio, che egli era azionista della G.________SA negli anni 2006-2007, opinione che peraltro niente negli atti avvalorerebbe. Al limite, ciò che comunque contesta, lo si potrebbe ammettere per il 2012. Rimprovera poi alla Corte cantonale di essere caduta nell'arbitrio poiché non avrebbe considerato i fondati motivi di opportunità che, nel 2012, hanno portato a rinunciare alla pigione dovuta (l'esercizio pubblico essendo stato chiuso all'improvviso in seguito ad un intervento della polizia, la G.________SA non avrebbe più potuto continuare la propria attività né, di conseguenza, versare il canone dovuto e, se la H.________ SA avesse insistito nelle procedure d'incasso, avrebbe avuto solo ulteriori danni e spese a suo carico). Ritiene inoltre che non gli si può rimproverare di non avere agito per incassare la pigione dovuta, dato che non era (né era mai stato) organo né dell'una né dell'altra società. La sentenza impugnata sarebbe pertanto inficiata d'arbitrio, poiché non sorretta da ragioni serie e oggettive oltre a contrastare in modo intollerabile con il sentimento di giustizia e equità nonché contraria alla normativa applicabile. Conclude quindi chiedendo lo stralcio degli importi aggiunti (fr. 62'000.-- per il 2007 e fr. 70'000.-- per il 2008).</w:t>
      </w:r>
    </w:p>
    <w:p>
      <w:r>
        <w:rPr>
          <w:b/>
        </w:rPr>
        <w:t>E. 6.1</w:t>
      </w:r>
    </w:p>
    <w:p>
      <w:r>
        <w:t>Come illustrato in precedenza, i motivi che hanno portato la Camera di diritto tributario ad ammettere una prossimità dell'azionariato della H.________ SA e della G.________SA, rispettivamente a considerare che il ricorrente era azionista o persona comunque vicina alla G.________SA, ragione per cui avrebbe beneficiato di una distribuzione dissimulata di utile da parte di quest'ultima società figurano ai considerandi 1.4.1-1.4.4 (pag. 5 a 7) nonché 3.3, 3.4 e 4.4 (pag. 10 a 12) della sentenza cantonale impugnata. Trattandosi dell'apprezzamento dei differenti elementi che hanno permesso alla Corte cantonale di raggiungere questa convinzione, va rammentato che il Tribunale federale li rivede unicamente nell'ottica del divieto dell'arbitrio (vedasi consid. 2.4; sentenze 2C_91/2019 citata consid. 5.1, 2C_605/2015 del 5 novembre 2015 consid. 2.3.2 e 2C_16/2015 del 6 agosto 2015 consid. 2.5.3).</w:t>
      </w:r>
    </w:p>
    <w:p>
      <w:r>
        <w:t>Ora il ricorrente non dimostra una simile violazione. Egli si accontenta di esporre una sua propria valutazione della fattispecie, che contrappone a quella della Camera di diritto tributario, rispettivamente si limita a contestare parte degli elementi ritenuti. Più esattamente ridiscute la questione della rinuncia all'incasso della pigione, omettendo però di pronunciarsi sugli altri aspetti rilevati (la circostanza che malgrado il cambiamento del datore di lavoro il suo stipendio sia rimasto invariato per 10 anni; il fatto che abbia accettato, in tassazioni precedenti [2005-2006], delle riprese di utili provenienti dalla stessa società; la circostanza che, benché citato in udienza dall'autorità di prime cure, non si sia presentato per determinarsi su quanto emergeva dagli accertamenti fiscali effettuati rispettivamente che abbia rinunciato dinanzi all'autorità ricorsuale a replicare alle determinazioni del fisco o a fornire altra documentazione). Egli rimprovera in seguito alla Corte cantonale di non essersi espressa su censure e/o argomenti (i motivi che avrebbero spinto, da un lato, la G.________SA a non più versare quanto dovuto e, dall'altro, la H.________ SA a non intraprendere nulla per tentare di ricuperare il dovuto) che però non ha (mai) fatto valere in sede ricorsuale cantonale (cfr. contenuto, più che stringato, del ricorso del 16 gennaio 2015). Ora, una simile argomentazione non basta. Per consolidata prassi il Tribunale federale ammette una violazione dell' art. 9 Cost. solo se l'istanza inferiore non ha manifestamente compreso il senso e la portata di un mezzo di prova, ha omesso di considerare un mezzo di prova pertinente senza un serio motivo, oppure se, sulla base dei fatti raccolti, ha tratto deduzioni insostenibili (cfr. consid. 2.4) ciò che, come appena illustrato, il ricorrente non ha dimostrato.</w:t>
      </w:r>
    </w:p>
    <w:p>
      <w:r>
        <w:rPr>
          <w:b/>
        </w:rPr>
        <w:t>E. 7</w:t>
      </w:r>
    </w:p>
    <w:p>
      <w:r>
        <w:t>Per quanto concerne la quantificazione dei redditi aggiunti nelle tassazioni litigiose, il ricorrente la contesta, senza però nulla addurre e ancora meno opporre ai calcoli e alle cifre ritenuti dalla Camera di diritto tributario, la quale si è basata sul rapporto allestito dall'Ispettorato fiscale e sui dati risultanti dalla dichiarazione fiscale per il 2008 cresciuta in giudicato della G.________SA. Ora, ancora una volta, un tale atteggiamento non è chiaramente sufficiente per dimostrare che l'accertamento dei fatti e/o l'apprezzamento delle prove sarebbe inficiato d'arbitrio. Anche su questo punto il ricorso, infondato, va respinto.</w:t>
      </w:r>
    </w:p>
    <w:p>
      <w:r>
        <w:t>II. Imposte cantonali</w:t>
      </w:r>
    </w:p>
    <w:p>
      <w:r>
        <w:rPr>
          <w:b/>
        </w:rPr>
        <w:t>E. 8</w:t>
      </w:r>
    </w:p>
    <w:p>
      <w:r>
        <w:t>La giurisprudenza in materia d'imposta federale diretta è valida anche per l'applicazione delle disposizioni cantonali armonizzate corrispondenti (art. 19 cpv. 1 e 67 lett. b LT in relazione con l' art. 24 cpv. 1 LAID ; DTF 140 II 88 consid. 10 pag. 101; sentenza 2C_79/2019 citata consid. 7.1). Il ricorso interposto - con cui vengono formulate critiche e conclusioni valide sia per l'imposta federale diretta che per le imposte cantonali, senza ulteriori distinzioni - dev'essere di conseguenza respinto anche con riferimento alle imposte cantonali.</w:t>
      </w:r>
    </w:p>
    <w:p>
      <w:r>
        <w:t>III. Spese e ripetibili</w:t>
      </w:r>
    </w:p>
    <w:p>
      <w:r>
        <w:rPr>
          <w:b/>
        </w:rPr>
        <w:t>E. 9</w:t>
      </w:r>
    </w:p>
    <w:p>
      <w:r>
        <w:t>Le spese giudiziarie seguono la soccombenza e vanno quindi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